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E33BD">
        <w:rPr>
          <w:b/>
          <w:bCs/>
          <w:iCs/>
          <w:sz w:val="20"/>
          <w:szCs w:val="20"/>
        </w:rPr>
        <w:t>15.04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E33BD">
        <w:rPr>
          <w:b/>
          <w:iCs/>
          <w:sz w:val="20"/>
          <w:szCs w:val="20"/>
        </w:rPr>
        <w:t>11</w:t>
      </w:r>
      <w:r w:rsidR="00C014C0" w:rsidRPr="00A515CB">
        <w:rPr>
          <w:b/>
          <w:iCs/>
          <w:sz w:val="20"/>
          <w:szCs w:val="20"/>
        </w:rPr>
        <w:t>.0</w:t>
      </w:r>
      <w:r w:rsidR="006E33BD">
        <w:rPr>
          <w:b/>
          <w:iCs/>
          <w:sz w:val="20"/>
          <w:szCs w:val="20"/>
        </w:rPr>
        <w:t>5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6E33BD">
        <w:rPr>
          <w:rFonts w:ascii="Times New Roman CYR" w:hAnsi="Times New Roman CYR" w:cs="Times New Roman CYR"/>
          <w:b/>
          <w:sz w:val="20"/>
          <w:szCs w:val="20"/>
        </w:rPr>
        <w:t>12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6E33BD">
        <w:rPr>
          <w:rFonts w:ascii="Times New Roman CYR" w:hAnsi="Times New Roman CYR" w:cs="Times New Roman CYR"/>
          <w:b/>
          <w:sz w:val="20"/>
          <w:szCs w:val="20"/>
        </w:rPr>
        <w:t>5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E33BD">
        <w:rPr>
          <w:b/>
          <w:bCs/>
          <w:iCs/>
          <w:sz w:val="20"/>
          <w:szCs w:val="20"/>
        </w:rPr>
        <w:t>16</w:t>
      </w:r>
      <w:r w:rsidR="00C014C0" w:rsidRPr="00A515CB">
        <w:rPr>
          <w:b/>
          <w:bCs/>
          <w:iCs/>
          <w:sz w:val="20"/>
          <w:szCs w:val="20"/>
        </w:rPr>
        <w:t>.0</w:t>
      </w:r>
      <w:r w:rsidR="006E33BD">
        <w:rPr>
          <w:b/>
          <w:bCs/>
          <w:iCs/>
          <w:sz w:val="20"/>
          <w:szCs w:val="20"/>
        </w:rPr>
        <w:t>5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0C52CC" w:rsidRDefault="000C52CC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Жилое помещение, кадастровый № 22:61:042105:574, площадь 19,5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3, адрес: Алтайский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Южный</w:t>
      </w:r>
      <w:proofErr w:type="gramEnd"/>
      <w:r>
        <w:rPr>
          <w:sz w:val="20"/>
          <w:szCs w:val="20"/>
        </w:rPr>
        <w:t>, ул. Белинского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9, к. 58. Информация о зарегистрированных лицах и о задолженности по взносам на капитальный ремонт СПИ не предоставлена. Начальная цена 1 023 000 руб. 00 коп. (Федосеева М.Э., запреты на совершение регистрационных действий) (470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C52CC" w:rsidRDefault="000C52CC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личного подсобного хозяйства, кадастровый № 22:13:180004:29, площадь 116000+/-10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установлено относительно ориентира, расположенного в границах участка, почтовый адрес:</w:t>
      </w:r>
      <w:r w:rsidR="00713C2E">
        <w:rPr>
          <w:sz w:val="20"/>
          <w:szCs w:val="20"/>
        </w:rPr>
        <w:t xml:space="preserve"> Алтайский край, </w:t>
      </w:r>
      <w:proofErr w:type="spellStart"/>
      <w:r w:rsidR="00713C2E"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</w:t>
      </w:r>
      <w:r w:rsidR="00713C2E">
        <w:rPr>
          <w:sz w:val="20"/>
          <w:szCs w:val="20"/>
        </w:rPr>
        <w:t xml:space="preserve">йон, территория Хмелевского сельсовета, в 2,5 км на север от п. </w:t>
      </w:r>
      <w:proofErr w:type="spellStart"/>
      <w:r w:rsidR="00713C2E">
        <w:rPr>
          <w:sz w:val="20"/>
          <w:szCs w:val="20"/>
        </w:rPr>
        <w:t>Новодресвянка</w:t>
      </w:r>
      <w:proofErr w:type="spellEnd"/>
      <w:r w:rsidR="00713C2E">
        <w:rPr>
          <w:sz w:val="20"/>
          <w:szCs w:val="20"/>
        </w:rPr>
        <w:t>. Начальная цена 1 171 000 руб. 00 коп. (Сумин Н.Д</w:t>
      </w:r>
      <w:r>
        <w:rPr>
          <w:sz w:val="20"/>
          <w:szCs w:val="20"/>
        </w:rPr>
        <w:t>., запреты на сове</w:t>
      </w:r>
      <w:r w:rsidR="00713C2E">
        <w:rPr>
          <w:sz w:val="20"/>
          <w:szCs w:val="20"/>
        </w:rPr>
        <w:t>ршение регистрационных действий) (487</w:t>
      </w:r>
      <w:r>
        <w:rPr>
          <w:sz w:val="20"/>
          <w:szCs w:val="20"/>
        </w:rPr>
        <w:t>).</w:t>
      </w:r>
    </w:p>
    <w:p w:rsidR="000C52CC" w:rsidRDefault="00713C2E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> Земельный участок, назначение – земли сельскохозяйственного назначения для ведения гражданами садоводства и огородничества, кадастровый № 22:33:050601:</w:t>
      </w:r>
      <w:r w:rsidR="00B928BE">
        <w:rPr>
          <w:sz w:val="20"/>
          <w:szCs w:val="20"/>
        </w:rPr>
        <w:t>3056, площадь 1400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</w:t>
      </w:r>
      <w:r w:rsidR="00B928BE">
        <w:rPr>
          <w:sz w:val="20"/>
          <w:szCs w:val="20"/>
        </w:rPr>
        <w:t>йский край, Первомайский</w:t>
      </w:r>
      <w:r>
        <w:rPr>
          <w:sz w:val="20"/>
          <w:szCs w:val="20"/>
        </w:rPr>
        <w:t xml:space="preserve"> ра</w:t>
      </w:r>
      <w:r w:rsidR="00B928BE">
        <w:rPr>
          <w:sz w:val="20"/>
          <w:szCs w:val="20"/>
        </w:rPr>
        <w:t xml:space="preserve">йон, </w:t>
      </w:r>
      <w:proofErr w:type="gramStart"/>
      <w:r w:rsidR="00B928BE">
        <w:rPr>
          <w:sz w:val="20"/>
          <w:szCs w:val="20"/>
        </w:rPr>
        <w:t>СТ</w:t>
      </w:r>
      <w:proofErr w:type="gramEnd"/>
      <w:r w:rsidR="00B928BE">
        <w:rPr>
          <w:sz w:val="20"/>
          <w:szCs w:val="20"/>
        </w:rPr>
        <w:t xml:space="preserve"> «Связист», десятая линия, 30</w:t>
      </w:r>
      <w:r>
        <w:rPr>
          <w:sz w:val="20"/>
          <w:szCs w:val="20"/>
        </w:rPr>
        <w:t>. Нач</w:t>
      </w:r>
      <w:r w:rsidR="00B928BE">
        <w:rPr>
          <w:sz w:val="20"/>
          <w:szCs w:val="20"/>
        </w:rPr>
        <w:t>альная цена 255</w:t>
      </w:r>
      <w:r>
        <w:rPr>
          <w:sz w:val="20"/>
          <w:szCs w:val="20"/>
        </w:rPr>
        <w:t xml:space="preserve"> 000 руб. 00 </w:t>
      </w:r>
      <w:r w:rsidR="00B928BE">
        <w:rPr>
          <w:sz w:val="20"/>
          <w:szCs w:val="20"/>
        </w:rPr>
        <w:t>коп. (ООО «Алтайская Лесная Компания»</w:t>
      </w:r>
      <w:r>
        <w:rPr>
          <w:sz w:val="20"/>
          <w:szCs w:val="20"/>
        </w:rPr>
        <w:t>, запреты на совершение регистрационных действий</w:t>
      </w:r>
      <w:r w:rsidR="00B928BE">
        <w:rPr>
          <w:sz w:val="20"/>
          <w:szCs w:val="20"/>
        </w:rPr>
        <w:t xml:space="preserve">, </w:t>
      </w:r>
      <w:r w:rsidR="00B928BE"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 w:rsidR="00B928BE">
        <w:rPr>
          <w:sz w:val="20"/>
          <w:szCs w:val="20"/>
        </w:rPr>
        <w:t>) (492</w:t>
      </w:r>
      <w:r>
        <w:rPr>
          <w:sz w:val="20"/>
          <w:szCs w:val="20"/>
        </w:rPr>
        <w:t>).</w:t>
      </w:r>
    </w:p>
    <w:p w:rsidR="00713C2E" w:rsidRDefault="00B928BE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22:33:021902:126, площадь 818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Первомайский ра</w:t>
      </w:r>
      <w:r w:rsidR="00C4022B">
        <w:rPr>
          <w:sz w:val="20"/>
          <w:szCs w:val="20"/>
        </w:rPr>
        <w:t>йон, садоводческое некоммерческое товарищество</w:t>
      </w:r>
      <w:r>
        <w:rPr>
          <w:sz w:val="20"/>
          <w:szCs w:val="20"/>
        </w:rPr>
        <w:t xml:space="preserve"> «</w:t>
      </w:r>
      <w:r w:rsidR="00C4022B">
        <w:rPr>
          <w:sz w:val="20"/>
          <w:szCs w:val="20"/>
        </w:rPr>
        <w:t>Домостроитель</w:t>
      </w:r>
      <w:r>
        <w:rPr>
          <w:sz w:val="20"/>
          <w:szCs w:val="20"/>
        </w:rPr>
        <w:t>»</w:t>
      </w:r>
      <w:r w:rsidR="00C4022B">
        <w:rPr>
          <w:sz w:val="20"/>
          <w:szCs w:val="20"/>
        </w:rPr>
        <w:t>, 14-я линия, участок № 62/64</w:t>
      </w:r>
      <w:r>
        <w:rPr>
          <w:sz w:val="20"/>
          <w:szCs w:val="20"/>
        </w:rPr>
        <w:t>. Нач</w:t>
      </w:r>
      <w:r w:rsidR="00C4022B">
        <w:rPr>
          <w:sz w:val="20"/>
          <w:szCs w:val="20"/>
        </w:rPr>
        <w:t>альная цена 63</w:t>
      </w:r>
      <w:r>
        <w:rPr>
          <w:sz w:val="20"/>
          <w:szCs w:val="20"/>
        </w:rPr>
        <w:t xml:space="preserve"> 000 руб. 00 </w:t>
      </w:r>
      <w:r w:rsidR="00C4022B">
        <w:rPr>
          <w:sz w:val="20"/>
          <w:szCs w:val="20"/>
        </w:rPr>
        <w:t>коп. (</w:t>
      </w:r>
      <w:proofErr w:type="spellStart"/>
      <w:r w:rsidR="00C4022B">
        <w:rPr>
          <w:sz w:val="20"/>
          <w:szCs w:val="20"/>
        </w:rPr>
        <w:t>Киснер</w:t>
      </w:r>
      <w:proofErr w:type="spellEnd"/>
      <w:r w:rsidR="00C4022B">
        <w:rPr>
          <w:sz w:val="20"/>
          <w:szCs w:val="20"/>
        </w:rPr>
        <w:t xml:space="preserve"> Ю.Я.</w:t>
      </w:r>
      <w:r>
        <w:rPr>
          <w:sz w:val="20"/>
          <w:szCs w:val="20"/>
        </w:rPr>
        <w:t xml:space="preserve">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 xml:space="preserve">) </w:t>
      </w:r>
      <w:r w:rsidR="00C4022B">
        <w:rPr>
          <w:sz w:val="20"/>
          <w:szCs w:val="20"/>
        </w:rPr>
        <w:t>(504</w:t>
      </w:r>
      <w:r>
        <w:rPr>
          <w:sz w:val="20"/>
          <w:szCs w:val="20"/>
        </w:rPr>
        <w:t>).</w:t>
      </w:r>
    </w:p>
    <w:p w:rsidR="00B928BE" w:rsidRDefault="00C4022B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здание (кузнечно-сварочный цех), кадастровый № 22:66:140203:14, площадь 650,7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г. Заринск,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д. 38. Начальная цена 912 000 руб. 00 коп. (</w:t>
      </w:r>
      <w:proofErr w:type="spellStart"/>
      <w:r>
        <w:rPr>
          <w:sz w:val="20"/>
          <w:szCs w:val="20"/>
        </w:rPr>
        <w:t>Маргарян</w:t>
      </w:r>
      <w:proofErr w:type="spellEnd"/>
      <w:r>
        <w:rPr>
          <w:sz w:val="20"/>
          <w:szCs w:val="20"/>
        </w:rPr>
        <w:t xml:space="preserve"> Э.Ф</w:t>
      </w:r>
      <w:r w:rsidRPr="007504C1">
        <w:rPr>
          <w:sz w:val="20"/>
          <w:szCs w:val="20"/>
        </w:rPr>
        <w:t>., запрет на совершение регистраци</w:t>
      </w:r>
      <w:r>
        <w:rPr>
          <w:sz w:val="20"/>
          <w:szCs w:val="20"/>
        </w:rPr>
        <w:t>онных действий) (510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4022B" w:rsidRDefault="0028670B" w:rsidP="007504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личного подсобного хозяйства, кадастровый № 22:47:080115:18, площадь 2686+/-36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gramStart"/>
      <w:r>
        <w:rPr>
          <w:sz w:val="20"/>
          <w:szCs w:val="20"/>
        </w:rPr>
        <w:t>Луговое</w:t>
      </w:r>
      <w:proofErr w:type="gramEnd"/>
      <w:r>
        <w:rPr>
          <w:sz w:val="20"/>
          <w:szCs w:val="20"/>
        </w:rPr>
        <w:t xml:space="preserve">, ул. Фабричная, 2. Начальная цена 226 000 руб. 00 коп. (Мологин А.Ю.,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>) (511).</w:t>
      </w:r>
    </w:p>
    <w:p w:rsidR="000D4689" w:rsidRDefault="0028670B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1/5 доля в праве собственности на жилой дом, 1934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22:68:010841:48, площадь 22,9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="00181F89">
        <w:rPr>
          <w:sz w:val="20"/>
          <w:szCs w:val="20"/>
        </w:rPr>
        <w:t xml:space="preserve">и 1/5 доля в праве собственности на земельный участок, назначение – земли населенных пунктов для индивидуальной жилой застройки, кадастровый № 22:68:010841:40, площадь 979+/-11 </w:t>
      </w:r>
      <w:proofErr w:type="spellStart"/>
      <w:r w:rsidR="00181F89">
        <w:rPr>
          <w:sz w:val="20"/>
          <w:szCs w:val="20"/>
        </w:rPr>
        <w:t>кв.м</w:t>
      </w:r>
      <w:proofErr w:type="spellEnd"/>
      <w:r w:rsidR="00181F89">
        <w:rPr>
          <w:sz w:val="20"/>
          <w:szCs w:val="20"/>
        </w:rPr>
        <w:t xml:space="preserve">., </w:t>
      </w:r>
      <w:r>
        <w:rPr>
          <w:sz w:val="20"/>
          <w:szCs w:val="20"/>
        </w:rPr>
        <w:t>адрес:</w:t>
      </w:r>
      <w:proofErr w:type="gramEnd"/>
      <w:r>
        <w:rPr>
          <w:sz w:val="20"/>
          <w:szCs w:val="20"/>
        </w:rPr>
        <w:t xml:space="preserve"> Алтайски</w:t>
      </w:r>
      <w:r w:rsidR="00181F89">
        <w:rPr>
          <w:sz w:val="20"/>
          <w:szCs w:val="20"/>
        </w:rPr>
        <w:t>й край, г. Камень-на-Оби, ул. Толстого</w:t>
      </w:r>
      <w:r w:rsidRPr="004D0DE3">
        <w:rPr>
          <w:sz w:val="20"/>
          <w:szCs w:val="20"/>
        </w:rPr>
        <w:t xml:space="preserve">, </w:t>
      </w:r>
      <w:r w:rsidR="00181F89">
        <w:rPr>
          <w:sz w:val="20"/>
          <w:szCs w:val="20"/>
        </w:rPr>
        <w:t>д. 55</w:t>
      </w:r>
      <w:r>
        <w:rPr>
          <w:sz w:val="20"/>
          <w:szCs w:val="20"/>
        </w:rPr>
        <w:t xml:space="preserve">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</w:t>
      </w:r>
      <w:r w:rsidR="00181F89">
        <w:rPr>
          <w:sz w:val="20"/>
          <w:szCs w:val="20"/>
        </w:rPr>
        <w:t>доставлена. Начальная цена 141 796 руб. 00 коп. (</w:t>
      </w:r>
      <w:proofErr w:type="spellStart"/>
      <w:r w:rsidR="00181F89">
        <w:rPr>
          <w:sz w:val="20"/>
          <w:szCs w:val="20"/>
        </w:rPr>
        <w:t>Мараховская</w:t>
      </w:r>
      <w:proofErr w:type="spellEnd"/>
      <w:r w:rsidR="00181F89">
        <w:rPr>
          <w:sz w:val="20"/>
          <w:szCs w:val="20"/>
        </w:rPr>
        <w:t xml:space="preserve"> В.А., </w:t>
      </w:r>
      <w:proofErr w:type="spellStart"/>
      <w:r w:rsidR="00181F89">
        <w:rPr>
          <w:sz w:val="20"/>
          <w:szCs w:val="20"/>
        </w:rPr>
        <w:t>Мараховская</w:t>
      </w:r>
      <w:proofErr w:type="spellEnd"/>
      <w:r w:rsidR="00181F89">
        <w:rPr>
          <w:sz w:val="20"/>
          <w:szCs w:val="20"/>
        </w:rPr>
        <w:t xml:space="preserve"> А.С., </w:t>
      </w:r>
      <w:proofErr w:type="spellStart"/>
      <w:r w:rsidR="00181F89">
        <w:rPr>
          <w:sz w:val="20"/>
          <w:szCs w:val="20"/>
        </w:rPr>
        <w:t>Мараховский</w:t>
      </w:r>
      <w:proofErr w:type="spellEnd"/>
      <w:r w:rsidR="00181F89">
        <w:rPr>
          <w:sz w:val="20"/>
          <w:szCs w:val="20"/>
        </w:rPr>
        <w:t xml:space="preserve"> С.М., </w:t>
      </w:r>
      <w:proofErr w:type="spellStart"/>
      <w:r w:rsidR="00181F89">
        <w:rPr>
          <w:sz w:val="20"/>
          <w:szCs w:val="20"/>
        </w:rPr>
        <w:t>Мараховская</w:t>
      </w:r>
      <w:proofErr w:type="spellEnd"/>
      <w:r w:rsidR="00181F89">
        <w:rPr>
          <w:sz w:val="20"/>
          <w:szCs w:val="20"/>
        </w:rPr>
        <w:t xml:space="preserve"> В.С.</w:t>
      </w:r>
      <w:r>
        <w:rPr>
          <w:sz w:val="20"/>
          <w:szCs w:val="20"/>
        </w:rPr>
        <w:t>, запреты на совершение</w:t>
      </w:r>
      <w:r w:rsidR="00181F89">
        <w:rPr>
          <w:sz w:val="20"/>
          <w:szCs w:val="20"/>
        </w:rPr>
        <w:t xml:space="preserve"> регистрационных действий, </w:t>
      </w:r>
      <w:r w:rsidR="00181F89"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 w:rsidR="00181F89">
        <w:rPr>
          <w:sz w:val="20"/>
          <w:szCs w:val="20"/>
        </w:rPr>
        <w:t>) (578</w:t>
      </w:r>
      <w:r w:rsidRPr="004D0DE3">
        <w:rPr>
          <w:sz w:val="20"/>
          <w:szCs w:val="20"/>
        </w:rPr>
        <w:t>)</w:t>
      </w:r>
      <w:r w:rsidR="00181F89">
        <w:rPr>
          <w:sz w:val="20"/>
          <w:szCs w:val="20"/>
        </w:rPr>
        <w:t>.</w:t>
      </w:r>
    </w:p>
    <w:p w:rsidR="00181F89" w:rsidRDefault="006B780D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F5E44">
        <w:rPr>
          <w:b/>
          <w:sz w:val="20"/>
          <w:szCs w:val="20"/>
          <w:u w:val="single"/>
        </w:rPr>
        <w:t>Лот№8</w:t>
      </w:r>
      <w:bookmarkStart w:id="0" w:name="_GoBack"/>
      <w:bookmarkEnd w:id="0"/>
      <w:r>
        <w:rPr>
          <w:sz w:val="20"/>
          <w:szCs w:val="20"/>
        </w:rPr>
        <w:t xml:space="preserve"> 3/10 доли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22:03:010301:29, площадь 1800000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в границах участка, ориентир: Алтайский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Чуманка</w:t>
      </w:r>
      <w:proofErr w:type="gramEnd"/>
      <w:r>
        <w:rPr>
          <w:sz w:val="20"/>
          <w:szCs w:val="20"/>
        </w:rPr>
        <w:t>, на территории МО «</w:t>
      </w:r>
      <w:proofErr w:type="spellStart"/>
      <w:r>
        <w:rPr>
          <w:sz w:val="20"/>
          <w:szCs w:val="20"/>
        </w:rPr>
        <w:t>Плотавский</w:t>
      </w:r>
      <w:proofErr w:type="spellEnd"/>
      <w:r>
        <w:rPr>
          <w:sz w:val="20"/>
          <w:szCs w:val="20"/>
        </w:rPr>
        <w:t xml:space="preserve"> сельсовет». Начальная цена 510 000 руб. 00 коп. (ООО «Алтай», запрет на совершение регистрационных действий) (589).</w:t>
      </w:r>
    </w:p>
    <w:p w:rsidR="006B780D" w:rsidRDefault="006B780D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>
        <w:rPr>
          <w:b/>
          <w:color w:val="000000" w:themeColor="text1"/>
          <w:sz w:val="20"/>
          <w:szCs w:val="20"/>
        </w:rPr>
        <w:t>29</w:t>
      </w:r>
      <w:r w:rsidRPr="00A04359">
        <w:rPr>
          <w:b/>
          <w:color w:val="000000" w:themeColor="text1"/>
          <w:sz w:val="20"/>
          <w:szCs w:val="20"/>
        </w:rPr>
        <w:t xml:space="preserve"> апреля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</w:t>
      </w:r>
      <w:r w:rsidR="00BB739E">
        <w:rPr>
          <w:bCs/>
          <w:sz w:val="20"/>
          <w:szCs w:val="20"/>
        </w:rPr>
        <w:t>татах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2CC"/>
    <w:rsid w:val="000C5DB0"/>
    <w:rsid w:val="000C65BC"/>
    <w:rsid w:val="000D4689"/>
    <w:rsid w:val="000D5948"/>
    <w:rsid w:val="000E0954"/>
    <w:rsid w:val="000E11BE"/>
    <w:rsid w:val="000E32A7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6177F"/>
    <w:rsid w:val="00163A46"/>
    <w:rsid w:val="00172EEB"/>
    <w:rsid w:val="001778B7"/>
    <w:rsid w:val="00180A5B"/>
    <w:rsid w:val="00181F89"/>
    <w:rsid w:val="00185428"/>
    <w:rsid w:val="001915F2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764F"/>
    <w:rsid w:val="003510FA"/>
    <w:rsid w:val="003521BA"/>
    <w:rsid w:val="00354E4A"/>
    <w:rsid w:val="00354FE1"/>
    <w:rsid w:val="00365E1D"/>
    <w:rsid w:val="003743EB"/>
    <w:rsid w:val="00374B69"/>
    <w:rsid w:val="00376AC2"/>
    <w:rsid w:val="00380D49"/>
    <w:rsid w:val="003A0722"/>
    <w:rsid w:val="003A16CD"/>
    <w:rsid w:val="003A5EDE"/>
    <w:rsid w:val="003C2A13"/>
    <w:rsid w:val="003C7DB6"/>
    <w:rsid w:val="003D1A56"/>
    <w:rsid w:val="003D42D3"/>
    <w:rsid w:val="003D692D"/>
    <w:rsid w:val="003D6F8B"/>
    <w:rsid w:val="003D75C6"/>
    <w:rsid w:val="003E1785"/>
    <w:rsid w:val="003E42EB"/>
    <w:rsid w:val="003E4D30"/>
    <w:rsid w:val="003F1F2F"/>
    <w:rsid w:val="003F74BC"/>
    <w:rsid w:val="004003B5"/>
    <w:rsid w:val="00402CD7"/>
    <w:rsid w:val="00402DE2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66A3"/>
    <w:rsid w:val="00744740"/>
    <w:rsid w:val="0074630F"/>
    <w:rsid w:val="007504C1"/>
    <w:rsid w:val="00751E32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3297"/>
    <w:rsid w:val="007F3DF5"/>
    <w:rsid w:val="007F5D0C"/>
    <w:rsid w:val="007F5E44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0FA7"/>
    <w:rsid w:val="0089196F"/>
    <w:rsid w:val="00895F39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179A9"/>
    <w:rsid w:val="0092040E"/>
    <w:rsid w:val="00924F34"/>
    <w:rsid w:val="0093235A"/>
    <w:rsid w:val="009345F6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23E5"/>
    <w:rsid w:val="00B928BE"/>
    <w:rsid w:val="00BA0BE5"/>
    <w:rsid w:val="00BA4DFC"/>
    <w:rsid w:val="00BA5F68"/>
    <w:rsid w:val="00BB1174"/>
    <w:rsid w:val="00BB3A2C"/>
    <w:rsid w:val="00BB739E"/>
    <w:rsid w:val="00BC49D7"/>
    <w:rsid w:val="00BC4C65"/>
    <w:rsid w:val="00BC626D"/>
    <w:rsid w:val="00BC7CC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25155"/>
    <w:rsid w:val="00E402CD"/>
    <w:rsid w:val="00E5001F"/>
    <w:rsid w:val="00E517DB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A0150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6D74-9E34-4453-91E9-9DBB2F75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337</cp:revision>
  <cp:lastPrinted>2019-09-06T02:18:00Z</cp:lastPrinted>
  <dcterms:created xsi:type="dcterms:W3CDTF">2019-09-09T04:07:00Z</dcterms:created>
  <dcterms:modified xsi:type="dcterms:W3CDTF">2022-04-13T03:54:00Z</dcterms:modified>
</cp:coreProperties>
</file>