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EB198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676D1F">
        <w:rPr>
          <w:b/>
          <w:bCs/>
          <w:iCs/>
          <w:sz w:val="20"/>
          <w:szCs w:val="20"/>
        </w:rPr>
        <w:t>12.05</w:t>
      </w:r>
      <w:r w:rsidR="0068634A">
        <w:rPr>
          <w:b/>
          <w:bCs/>
          <w:iCs/>
          <w:sz w:val="20"/>
          <w:szCs w:val="20"/>
        </w:rPr>
        <w:t>.2023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676D1F">
        <w:rPr>
          <w:b/>
          <w:iCs/>
          <w:sz w:val="20"/>
          <w:szCs w:val="20"/>
        </w:rPr>
        <w:t>08.06</w:t>
      </w:r>
      <w:r w:rsidR="008D6376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Pr="000E2A80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676D1F">
        <w:rPr>
          <w:rFonts w:ascii="Times New Roman CYR" w:hAnsi="Times New Roman CYR" w:cs="Times New Roman CYR"/>
          <w:b/>
          <w:sz w:val="20"/>
          <w:szCs w:val="20"/>
        </w:rPr>
        <w:t>09.06</w:t>
      </w:r>
      <w:r w:rsidR="008D6376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0E2A80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676D1F">
        <w:rPr>
          <w:b/>
          <w:bCs/>
          <w:iCs/>
          <w:sz w:val="20"/>
          <w:szCs w:val="20"/>
        </w:rPr>
        <w:t>13.06</w:t>
      </w:r>
      <w:r w:rsidR="008D6376">
        <w:rPr>
          <w:b/>
          <w:bCs/>
          <w:iCs/>
          <w:sz w:val="20"/>
          <w:szCs w:val="20"/>
        </w:rPr>
        <w:t>.2023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0E2A80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E2A80" w:rsidRPr="00F27639">
        <w:rPr>
          <w:color w:val="000000"/>
          <w:sz w:val="20"/>
          <w:szCs w:val="20"/>
        </w:rPr>
        <w:t xml:space="preserve">АО «РАД» </w:t>
      </w:r>
      <w:r w:rsidR="000E2A80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F2F2F" w:rsidRDefault="009B2EF1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 xml:space="preserve">Государственного контракта от </w:t>
      </w:r>
      <w:r w:rsidR="0040324A">
        <w:rPr>
          <w:sz w:val="20"/>
          <w:szCs w:val="20"/>
        </w:rPr>
        <w:t>29.11.2022</w:t>
      </w:r>
      <w:r w:rsidRPr="009B2EF1">
        <w:rPr>
          <w:sz w:val="20"/>
          <w:szCs w:val="20"/>
        </w:rPr>
        <w:t xml:space="preserve"> года № </w:t>
      </w:r>
      <w:r w:rsidR="0040324A">
        <w:rPr>
          <w:sz w:val="20"/>
          <w:szCs w:val="20"/>
        </w:rPr>
        <w:t>0117100002622000018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</w:p>
    <w:p w:rsidR="003F5A25" w:rsidRDefault="003F5A25" w:rsidP="003F5A2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Нежилое здание хлебозавода, кадастровый № 22:03:010614:249, площадь 682,1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земельный участок, назначение – земли населенных пунктов под промышленные предприятия, кадастровый № 22:03:010614:174, площадь 4556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</w:t>
      </w:r>
      <w:proofErr w:type="spellStart"/>
      <w:r>
        <w:rPr>
          <w:sz w:val="20"/>
          <w:szCs w:val="20"/>
        </w:rPr>
        <w:t>Баевский</w:t>
      </w:r>
      <w:proofErr w:type="spellEnd"/>
      <w:r>
        <w:rPr>
          <w:sz w:val="20"/>
          <w:szCs w:val="20"/>
        </w:rPr>
        <w:t xml:space="preserve"> район, с. Баево, пер. Центральный, д. 38. Начальная цена 532 506 руб. 30 коп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указана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>. (БПО «</w:t>
      </w:r>
      <w:proofErr w:type="spellStart"/>
      <w:r>
        <w:rPr>
          <w:sz w:val="20"/>
          <w:szCs w:val="20"/>
        </w:rPr>
        <w:t>Хлебокомбинат</w:t>
      </w:r>
      <w:proofErr w:type="spellEnd"/>
      <w:r>
        <w:rPr>
          <w:sz w:val="20"/>
          <w:szCs w:val="20"/>
        </w:rPr>
        <w:t>»,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 xml:space="preserve">ршение регистрационных действий, арест,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(241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3F5A25" w:rsidRDefault="003F5A25" w:rsidP="003F5A2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1/7 доля в праве собственности на жилое помещение, кадастровый № 22:66:010201:588, общая площадь 88,5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7, адрес: Алтайский край, г. Заринск, ул. Металлургов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6, кв. 28.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419 050 руб. 00 коп. (</w:t>
      </w:r>
      <w:proofErr w:type="spellStart"/>
      <w:r>
        <w:rPr>
          <w:sz w:val="20"/>
          <w:szCs w:val="20"/>
        </w:rPr>
        <w:t>Белашков</w:t>
      </w:r>
      <w:proofErr w:type="spellEnd"/>
      <w:r>
        <w:rPr>
          <w:sz w:val="20"/>
          <w:szCs w:val="20"/>
        </w:rPr>
        <w:t xml:space="preserve"> А.А., запреты на совершение регистрационных действий) (366) (повторные).</w:t>
      </w:r>
    </w:p>
    <w:p w:rsidR="003F5A25" w:rsidRDefault="003F5A25" w:rsidP="003F5A2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 3/10 доли в праве собственности на земельный участок, назначение – земли сельскохозяйственного назначения для сельскохозяйственного производства, кадастровый № 22:03:010301:29, общая площадь 1800000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установлено относительно ориентира, расположенного в границах участка, ориентир:  Алтайский край, </w:t>
      </w:r>
      <w:proofErr w:type="spellStart"/>
      <w:r>
        <w:rPr>
          <w:sz w:val="20"/>
          <w:szCs w:val="20"/>
        </w:rPr>
        <w:t>Баевский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Чуманка</w:t>
      </w:r>
      <w:proofErr w:type="gramEnd"/>
      <w:r>
        <w:rPr>
          <w:sz w:val="20"/>
          <w:szCs w:val="20"/>
        </w:rPr>
        <w:t>, на территории МО «</w:t>
      </w:r>
      <w:proofErr w:type="spellStart"/>
      <w:r>
        <w:rPr>
          <w:sz w:val="20"/>
          <w:szCs w:val="20"/>
        </w:rPr>
        <w:t>Плотавский</w:t>
      </w:r>
      <w:proofErr w:type="spellEnd"/>
      <w:r>
        <w:rPr>
          <w:sz w:val="20"/>
          <w:szCs w:val="20"/>
        </w:rPr>
        <w:t xml:space="preserve"> сельсовет». Начальная цена 444 633 руб. 30 коп. (ООО «Алтай», </w:t>
      </w:r>
      <w:proofErr w:type="spellStart"/>
      <w:r>
        <w:rPr>
          <w:sz w:val="20"/>
          <w:szCs w:val="20"/>
        </w:rPr>
        <w:t>Присада</w:t>
      </w:r>
      <w:proofErr w:type="spellEnd"/>
      <w:r>
        <w:rPr>
          <w:sz w:val="20"/>
          <w:szCs w:val="20"/>
        </w:rPr>
        <w:t xml:space="preserve"> К.А., </w:t>
      </w:r>
      <w:proofErr w:type="spellStart"/>
      <w:r>
        <w:rPr>
          <w:sz w:val="20"/>
          <w:szCs w:val="20"/>
        </w:rPr>
        <w:t>Сныткин</w:t>
      </w:r>
      <w:proofErr w:type="spellEnd"/>
      <w:r>
        <w:rPr>
          <w:sz w:val="20"/>
          <w:szCs w:val="20"/>
        </w:rPr>
        <w:t xml:space="preserve"> В.Н., Кузьменко И.И., запреты на совершение регистрационных действий, аренда) (407) (повторные).</w:t>
      </w:r>
    </w:p>
    <w:p w:rsidR="003F5A25" w:rsidRDefault="00A903BD" w:rsidP="003D2323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 Земельный участок, назначение – земли населенных пунктов для ведения личного подсобного хозяйства, кадастровый № 22:47:140102:24, площадь 2915+/-19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Речкуново</w:t>
      </w:r>
      <w:proofErr w:type="spellEnd"/>
      <w:r>
        <w:rPr>
          <w:sz w:val="20"/>
          <w:szCs w:val="20"/>
        </w:rPr>
        <w:t>, ул. Школьная, 8А. Начальная цена 207 800 руб. 00 коп. (</w:t>
      </w:r>
      <w:proofErr w:type="spellStart"/>
      <w:r>
        <w:rPr>
          <w:sz w:val="20"/>
          <w:szCs w:val="20"/>
        </w:rPr>
        <w:t>Сигова</w:t>
      </w:r>
      <w:proofErr w:type="spellEnd"/>
      <w:r>
        <w:rPr>
          <w:sz w:val="20"/>
          <w:szCs w:val="20"/>
        </w:rPr>
        <w:t xml:space="preserve"> Л.В., запреты на совершение регистрационных действий УФССП, арест </w:t>
      </w:r>
      <w:proofErr w:type="spellStart"/>
      <w:r>
        <w:rPr>
          <w:sz w:val="20"/>
          <w:szCs w:val="20"/>
        </w:rPr>
        <w:t>Тальменского</w:t>
      </w:r>
      <w:proofErr w:type="spellEnd"/>
      <w:r>
        <w:rPr>
          <w:sz w:val="20"/>
          <w:szCs w:val="20"/>
        </w:rPr>
        <w:t xml:space="preserve"> районного суда,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(701).</w:t>
      </w:r>
    </w:p>
    <w:p w:rsidR="00B125CF" w:rsidRDefault="00B125CF" w:rsidP="00B125C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 w:rsidRPr="00D12BB0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Здание цеха по переработке сельскохозяйственной продукции, назначение - нежилое, кадастровый № 22:08:011301:851, площадь 1975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технологическое здание паровой котельной, назначение - нежилое, кадастровый № 22:08:011301:852, площадь 45,5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земельный участок, назначение – земли населенных пунктов под коммунально-складские объекты, кадастровый № 22:08:011301:6, площадь 5443+/-26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</w:t>
      </w:r>
      <w:proofErr w:type="gramEnd"/>
      <w:r w:rsidRPr="001F3BF9">
        <w:rPr>
          <w:sz w:val="20"/>
          <w:szCs w:val="20"/>
        </w:rPr>
        <w:t xml:space="preserve"> Алтай</w:t>
      </w:r>
      <w:r>
        <w:rPr>
          <w:sz w:val="20"/>
          <w:szCs w:val="20"/>
        </w:rPr>
        <w:t xml:space="preserve">ский край, </w:t>
      </w:r>
      <w:proofErr w:type="spellStart"/>
      <w:r>
        <w:rPr>
          <w:sz w:val="20"/>
          <w:szCs w:val="20"/>
        </w:rPr>
        <w:t>Волчихинский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Волчиха</w:t>
      </w:r>
      <w:proofErr w:type="gramEnd"/>
      <w:r>
        <w:rPr>
          <w:sz w:val="20"/>
          <w:szCs w:val="20"/>
        </w:rPr>
        <w:t>, ул. Ленина, д. 1Б-1. Начальная цена 9 723 700 руб. 00 коп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указана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>. (ООО «Алтайский лен»,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 xml:space="preserve">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(576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70974" w:rsidRDefault="00C70974" w:rsidP="00C7097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70974">
        <w:rPr>
          <w:b/>
          <w:sz w:val="20"/>
          <w:szCs w:val="20"/>
          <w:u w:val="single"/>
        </w:rPr>
        <w:t>Лот№</w:t>
      </w:r>
      <w:r w:rsidRPr="00C70974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 1/20 доля в праве собственности на земельный участок, назначение – земли сельскохозяйственного назначения для сельскохозяйственного производства, кадастровый № 22:58:030101:1583, общая площадь 1183043+/-9517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установлено относительно ориентира, расположенного за пределами участка, участок находится примерно в 7 км по направлению на северо-восток от ориентира, ориентир:  Алтайский край, </w:t>
      </w:r>
      <w:proofErr w:type="spellStart"/>
      <w:r>
        <w:rPr>
          <w:sz w:val="20"/>
          <w:szCs w:val="20"/>
        </w:rPr>
        <w:t>Чарышский</w:t>
      </w:r>
      <w:proofErr w:type="spellEnd"/>
      <w:r>
        <w:rPr>
          <w:sz w:val="20"/>
          <w:szCs w:val="20"/>
        </w:rPr>
        <w:t xml:space="preserve"> район, с. Красный Май. Начальная цена 104 200 руб. 00 коп. (Потапов К.А., запреты на совершение регистрационных действий) (772).</w:t>
      </w:r>
    </w:p>
    <w:p w:rsidR="002F1EB8" w:rsidRPr="00C87F08" w:rsidRDefault="002F1EB8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147C70" w:rsidP="00147C70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A11D8F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676D1F">
        <w:rPr>
          <w:b/>
          <w:color w:val="000000" w:themeColor="text1"/>
          <w:sz w:val="20"/>
          <w:szCs w:val="20"/>
        </w:rPr>
        <w:t>02 июня</w:t>
      </w:r>
      <w:r w:rsidRPr="00A04359">
        <w:rPr>
          <w:b/>
          <w:color w:val="000000" w:themeColor="text1"/>
          <w:sz w:val="20"/>
          <w:szCs w:val="20"/>
        </w:rPr>
        <w:t xml:space="preserve"> 202</w:t>
      </w:r>
      <w:r w:rsidR="008D6376">
        <w:rPr>
          <w:b/>
          <w:color w:val="000000" w:themeColor="text1"/>
          <w:sz w:val="20"/>
          <w:szCs w:val="20"/>
        </w:rPr>
        <w:t>3</w:t>
      </w:r>
      <w:r w:rsidRPr="00A04359">
        <w:rPr>
          <w:b/>
          <w:color w:val="000000" w:themeColor="text1"/>
          <w:sz w:val="20"/>
          <w:szCs w:val="20"/>
        </w:rPr>
        <w:t xml:space="preserve">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9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</w:t>
      </w:r>
      <w:r w:rsidR="004E1B38">
        <w:rPr>
          <w:color w:val="000000"/>
          <w:sz w:val="20"/>
          <w:szCs w:val="20"/>
        </w:rPr>
        <w:t xml:space="preserve"> электронную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торговую площадку в соответствии с регламентами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color w:val="000000"/>
          <w:sz w:val="20"/>
          <w:szCs w:val="20"/>
        </w:rPr>
        <w:t>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 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</w:t>
      </w:r>
      <w:r w:rsidR="000E2A80">
        <w:rPr>
          <w:sz w:val="20"/>
          <w:szCs w:val="20"/>
        </w:rPr>
        <w:t xml:space="preserve"> оператора</w:t>
      </w:r>
      <w:r w:rsidR="004E1B38">
        <w:rPr>
          <w:sz w:val="20"/>
          <w:szCs w:val="20"/>
        </w:rPr>
        <w:t xml:space="preserve"> электронной</w:t>
      </w:r>
      <w:r>
        <w:rPr>
          <w:sz w:val="20"/>
          <w:szCs w:val="20"/>
        </w:rPr>
        <w:t xml:space="preserve"> </w:t>
      </w:r>
      <w:r w:rsidR="000E2A80" w:rsidRPr="00F27639">
        <w:rPr>
          <w:sz w:val="20"/>
          <w:szCs w:val="20"/>
        </w:rPr>
        <w:t xml:space="preserve">торговой площадки размещена в сети Интернет по адресу </w:t>
      </w:r>
      <w:hyperlink r:id="rId11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0E2A80" w:rsidRPr="00F27639">
        <w:rPr>
          <w:sz w:val="20"/>
          <w:szCs w:val="20"/>
        </w:rPr>
        <w:t>в разделе «Документация», «Тарифы».</w:t>
      </w:r>
    </w:p>
    <w:p w:rsidR="000E2A80" w:rsidRPr="00F27639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4E1B38">
        <w:rPr>
          <w:color w:val="000000"/>
          <w:sz w:val="20"/>
          <w:szCs w:val="20"/>
        </w:rPr>
        <w:t xml:space="preserve"> электронной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0E2A80" w:rsidRPr="00F27639" w:rsidRDefault="007D549A" w:rsidP="000E2A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4E1B38">
        <w:rPr>
          <w:bCs/>
          <w:iCs/>
          <w:sz w:val="20"/>
          <w:szCs w:val="20"/>
        </w:rPr>
        <w:t xml:space="preserve"> электронной</w:t>
      </w:r>
      <w:r w:rsidR="000E2A80" w:rsidRPr="00F27639">
        <w:rPr>
          <w:bCs/>
          <w:iCs/>
          <w:sz w:val="20"/>
          <w:szCs w:val="20"/>
        </w:rPr>
        <w:t xml:space="preserve"> торговой площадке </w:t>
      </w:r>
      <w:r w:rsidR="000E2A80" w:rsidRPr="00F27639">
        <w:rPr>
          <w:color w:val="000000"/>
          <w:sz w:val="20"/>
          <w:szCs w:val="20"/>
        </w:rPr>
        <w:t>АО «РАД» https://catalog.lot-online.ru.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51A5"/>
    <w:rsid w:val="00016E89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58A7"/>
    <w:rsid w:val="00076034"/>
    <w:rsid w:val="0008039E"/>
    <w:rsid w:val="00081C6C"/>
    <w:rsid w:val="00082020"/>
    <w:rsid w:val="000835AE"/>
    <w:rsid w:val="00083B04"/>
    <w:rsid w:val="0009090A"/>
    <w:rsid w:val="00091B4E"/>
    <w:rsid w:val="00092481"/>
    <w:rsid w:val="00094291"/>
    <w:rsid w:val="00096429"/>
    <w:rsid w:val="00096743"/>
    <w:rsid w:val="00096CA4"/>
    <w:rsid w:val="000C1240"/>
    <w:rsid w:val="000C52CC"/>
    <w:rsid w:val="000C5DB0"/>
    <w:rsid w:val="000C65BC"/>
    <w:rsid w:val="000C69FF"/>
    <w:rsid w:val="000D4689"/>
    <w:rsid w:val="000D5948"/>
    <w:rsid w:val="000E0954"/>
    <w:rsid w:val="000E11BE"/>
    <w:rsid w:val="000E2A80"/>
    <w:rsid w:val="000E32A7"/>
    <w:rsid w:val="000E4422"/>
    <w:rsid w:val="000E47D0"/>
    <w:rsid w:val="000E6255"/>
    <w:rsid w:val="000E712A"/>
    <w:rsid w:val="000E7817"/>
    <w:rsid w:val="000F07E9"/>
    <w:rsid w:val="000F1EFD"/>
    <w:rsid w:val="000F63CC"/>
    <w:rsid w:val="001038D9"/>
    <w:rsid w:val="00105EE5"/>
    <w:rsid w:val="00111190"/>
    <w:rsid w:val="00122CBD"/>
    <w:rsid w:val="00123C40"/>
    <w:rsid w:val="00123FF2"/>
    <w:rsid w:val="001249DD"/>
    <w:rsid w:val="00126C70"/>
    <w:rsid w:val="00144710"/>
    <w:rsid w:val="00145118"/>
    <w:rsid w:val="001470BE"/>
    <w:rsid w:val="00147C70"/>
    <w:rsid w:val="0015012B"/>
    <w:rsid w:val="00153197"/>
    <w:rsid w:val="00154AD1"/>
    <w:rsid w:val="00155E0A"/>
    <w:rsid w:val="0016177F"/>
    <w:rsid w:val="00161FEC"/>
    <w:rsid w:val="00163A46"/>
    <w:rsid w:val="00170465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6D5C"/>
    <w:rsid w:val="00197DA1"/>
    <w:rsid w:val="001A11DB"/>
    <w:rsid w:val="001A2489"/>
    <w:rsid w:val="001A319C"/>
    <w:rsid w:val="001C1A8A"/>
    <w:rsid w:val="001C2914"/>
    <w:rsid w:val="001C4992"/>
    <w:rsid w:val="001C4BB1"/>
    <w:rsid w:val="001C650D"/>
    <w:rsid w:val="001C7124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22966"/>
    <w:rsid w:val="00223B1D"/>
    <w:rsid w:val="00227E5C"/>
    <w:rsid w:val="00230448"/>
    <w:rsid w:val="00230680"/>
    <w:rsid w:val="0023071A"/>
    <w:rsid w:val="002348F0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6601B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237"/>
    <w:rsid w:val="002B5E7A"/>
    <w:rsid w:val="002C0207"/>
    <w:rsid w:val="002C1C95"/>
    <w:rsid w:val="002C2C96"/>
    <w:rsid w:val="002C39B0"/>
    <w:rsid w:val="002D26FC"/>
    <w:rsid w:val="002D6197"/>
    <w:rsid w:val="002E066F"/>
    <w:rsid w:val="002F1EB8"/>
    <w:rsid w:val="002F3301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7552"/>
    <w:rsid w:val="0033764F"/>
    <w:rsid w:val="0034234C"/>
    <w:rsid w:val="003475FC"/>
    <w:rsid w:val="003510FA"/>
    <w:rsid w:val="003521BA"/>
    <w:rsid w:val="00354E4A"/>
    <w:rsid w:val="00354FE1"/>
    <w:rsid w:val="00365223"/>
    <w:rsid w:val="00365E1D"/>
    <w:rsid w:val="003743EB"/>
    <w:rsid w:val="00374B69"/>
    <w:rsid w:val="00376AC2"/>
    <w:rsid w:val="00376D68"/>
    <w:rsid w:val="003778BD"/>
    <w:rsid w:val="00380D49"/>
    <w:rsid w:val="003A0722"/>
    <w:rsid w:val="003A16CD"/>
    <w:rsid w:val="003A5EDE"/>
    <w:rsid w:val="003A6D17"/>
    <w:rsid w:val="003A76D7"/>
    <w:rsid w:val="003B138C"/>
    <w:rsid w:val="003B2736"/>
    <w:rsid w:val="003B376B"/>
    <w:rsid w:val="003B3C28"/>
    <w:rsid w:val="003B59E4"/>
    <w:rsid w:val="003C2A13"/>
    <w:rsid w:val="003C7DB6"/>
    <w:rsid w:val="003D1A56"/>
    <w:rsid w:val="003D1E7B"/>
    <w:rsid w:val="003D2323"/>
    <w:rsid w:val="003D42D3"/>
    <w:rsid w:val="003D556D"/>
    <w:rsid w:val="003D692D"/>
    <w:rsid w:val="003D6F8B"/>
    <w:rsid w:val="003D75C6"/>
    <w:rsid w:val="003E1785"/>
    <w:rsid w:val="003E42EB"/>
    <w:rsid w:val="003E4D30"/>
    <w:rsid w:val="003E53B7"/>
    <w:rsid w:val="003E72FD"/>
    <w:rsid w:val="003F13DB"/>
    <w:rsid w:val="003F1F2F"/>
    <w:rsid w:val="003F3789"/>
    <w:rsid w:val="003F5A25"/>
    <w:rsid w:val="003F74BC"/>
    <w:rsid w:val="004003B5"/>
    <w:rsid w:val="00402CD7"/>
    <w:rsid w:val="00402DE2"/>
    <w:rsid w:val="0040324A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1B38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30D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55633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9764F"/>
    <w:rsid w:val="005A09F9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C77FE"/>
    <w:rsid w:val="005D0E1A"/>
    <w:rsid w:val="005D31CD"/>
    <w:rsid w:val="005D6F86"/>
    <w:rsid w:val="005E15C3"/>
    <w:rsid w:val="005E5169"/>
    <w:rsid w:val="00601820"/>
    <w:rsid w:val="0060225D"/>
    <w:rsid w:val="006039CF"/>
    <w:rsid w:val="00606D6A"/>
    <w:rsid w:val="00613AA6"/>
    <w:rsid w:val="0061523A"/>
    <w:rsid w:val="006160CC"/>
    <w:rsid w:val="006162D2"/>
    <w:rsid w:val="00616F15"/>
    <w:rsid w:val="006170AE"/>
    <w:rsid w:val="0062387A"/>
    <w:rsid w:val="00626A86"/>
    <w:rsid w:val="0063107D"/>
    <w:rsid w:val="0063250A"/>
    <w:rsid w:val="00636B0E"/>
    <w:rsid w:val="00643302"/>
    <w:rsid w:val="00647A63"/>
    <w:rsid w:val="00651185"/>
    <w:rsid w:val="00653A3A"/>
    <w:rsid w:val="006545EA"/>
    <w:rsid w:val="00654E82"/>
    <w:rsid w:val="00656737"/>
    <w:rsid w:val="006617ED"/>
    <w:rsid w:val="00672A16"/>
    <w:rsid w:val="00676D1F"/>
    <w:rsid w:val="00676EF5"/>
    <w:rsid w:val="00682CF1"/>
    <w:rsid w:val="00685CD0"/>
    <w:rsid w:val="0068634A"/>
    <w:rsid w:val="00687FA6"/>
    <w:rsid w:val="006946BF"/>
    <w:rsid w:val="00696782"/>
    <w:rsid w:val="006A0B6C"/>
    <w:rsid w:val="006A2EE4"/>
    <w:rsid w:val="006A50AF"/>
    <w:rsid w:val="006A6E3D"/>
    <w:rsid w:val="006B25E5"/>
    <w:rsid w:val="006B539B"/>
    <w:rsid w:val="006B6F98"/>
    <w:rsid w:val="006B780D"/>
    <w:rsid w:val="006C0579"/>
    <w:rsid w:val="006C0ACD"/>
    <w:rsid w:val="006C2486"/>
    <w:rsid w:val="006C3884"/>
    <w:rsid w:val="006C749E"/>
    <w:rsid w:val="006D05AE"/>
    <w:rsid w:val="006D3FA9"/>
    <w:rsid w:val="006D4915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1FF0"/>
    <w:rsid w:val="007323FF"/>
    <w:rsid w:val="007366A3"/>
    <w:rsid w:val="00744740"/>
    <w:rsid w:val="0074630F"/>
    <w:rsid w:val="007504C1"/>
    <w:rsid w:val="00751E32"/>
    <w:rsid w:val="00755429"/>
    <w:rsid w:val="007568EB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B7AF1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5D6D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7ED4"/>
    <w:rsid w:val="008D097D"/>
    <w:rsid w:val="008D0B33"/>
    <w:rsid w:val="008D3786"/>
    <w:rsid w:val="008D505A"/>
    <w:rsid w:val="008D6376"/>
    <w:rsid w:val="008D78A0"/>
    <w:rsid w:val="008E3A4A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F19"/>
    <w:rsid w:val="00963F9E"/>
    <w:rsid w:val="00966AFA"/>
    <w:rsid w:val="00967AD8"/>
    <w:rsid w:val="00974F9B"/>
    <w:rsid w:val="009760F4"/>
    <w:rsid w:val="00980491"/>
    <w:rsid w:val="00984C9A"/>
    <w:rsid w:val="00985971"/>
    <w:rsid w:val="00991D90"/>
    <w:rsid w:val="00995EE6"/>
    <w:rsid w:val="009A1D9B"/>
    <w:rsid w:val="009A44E5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C738B"/>
    <w:rsid w:val="009D4A29"/>
    <w:rsid w:val="009E02E6"/>
    <w:rsid w:val="009E2C8D"/>
    <w:rsid w:val="009E36B8"/>
    <w:rsid w:val="009E36FF"/>
    <w:rsid w:val="009E5C98"/>
    <w:rsid w:val="009E6705"/>
    <w:rsid w:val="009F1A22"/>
    <w:rsid w:val="009F275E"/>
    <w:rsid w:val="009F2CCD"/>
    <w:rsid w:val="009F5B6E"/>
    <w:rsid w:val="00A04359"/>
    <w:rsid w:val="00A111BA"/>
    <w:rsid w:val="00A11D8F"/>
    <w:rsid w:val="00A142A0"/>
    <w:rsid w:val="00A1660F"/>
    <w:rsid w:val="00A169CA"/>
    <w:rsid w:val="00A21FD5"/>
    <w:rsid w:val="00A23B41"/>
    <w:rsid w:val="00A24017"/>
    <w:rsid w:val="00A33BDF"/>
    <w:rsid w:val="00A34757"/>
    <w:rsid w:val="00A41FD5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903BD"/>
    <w:rsid w:val="00A916AD"/>
    <w:rsid w:val="00AA12A7"/>
    <w:rsid w:val="00AA2F84"/>
    <w:rsid w:val="00AA6629"/>
    <w:rsid w:val="00AB3F5D"/>
    <w:rsid w:val="00AB4147"/>
    <w:rsid w:val="00AB41D9"/>
    <w:rsid w:val="00AB54FC"/>
    <w:rsid w:val="00AC1B4E"/>
    <w:rsid w:val="00AC224D"/>
    <w:rsid w:val="00AC2C89"/>
    <w:rsid w:val="00AD0B11"/>
    <w:rsid w:val="00AD3F94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5CF"/>
    <w:rsid w:val="00B12BCB"/>
    <w:rsid w:val="00B20041"/>
    <w:rsid w:val="00B2643E"/>
    <w:rsid w:val="00B324E3"/>
    <w:rsid w:val="00B36B1E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1A78"/>
    <w:rsid w:val="00BB3A2C"/>
    <w:rsid w:val="00BB3B6E"/>
    <w:rsid w:val="00BB739E"/>
    <w:rsid w:val="00BC49D7"/>
    <w:rsid w:val="00BC4C65"/>
    <w:rsid w:val="00BC626D"/>
    <w:rsid w:val="00BC7CC4"/>
    <w:rsid w:val="00BD1014"/>
    <w:rsid w:val="00BD4A63"/>
    <w:rsid w:val="00BE1116"/>
    <w:rsid w:val="00BE55E0"/>
    <w:rsid w:val="00BF2F2F"/>
    <w:rsid w:val="00BF3C4A"/>
    <w:rsid w:val="00C014C0"/>
    <w:rsid w:val="00C03446"/>
    <w:rsid w:val="00C046B2"/>
    <w:rsid w:val="00C1158F"/>
    <w:rsid w:val="00C115DD"/>
    <w:rsid w:val="00C12322"/>
    <w:rsid w:val="00C1425F"/>
    <w:rsid w:val="00C16608"/>
    <w:rsid w:val="00C2178D"/>
    <w:rsid w:val="00C239AF"/>
    <w:rsid w:val="00C30AE3"/>
    <w:rsid w:val="00C315BE"/>
    <w:rsid w:val="00C355C0"/>
    <w:rsid w:val="00C4022B"/>
    <w:rsid w:val="00C427BF"/>
    <w:rsid w:val="00C44A62"/>
    <w:rsid w:val="00C51AC2"/>
    <w:rsid w:val="00C53481"/>
    <w:rsid w:val="00C62817"/>
    <w:rsid w:val="00C648E0"/>
    <w:rsid w:val="00C65271"/>
    <w:rsid w:val="00C70974"/>
    <w:rsid w:val="00C71809"/>
    <w:rsid w:val="00C813DB"/>
    <w:rsid w:val="00C82D7A"/>
    <w:rsid w:val="00C83364"/>
    <w:rsid w:val="00C83892"/>
    <w:rsid w:val="00C83C5E"/>
    <w:rsid w:val="00C87F08"/>
    <w:rsid w:val="00C97AC6"/>
    <w:rsid w:val="00CB189E"/>
    <w:rsid w:val="00CB228D"/>
    <w:rsid w:val="00CB4116"/>
    <w:rsid w:val="00CB6076"/>
    <w:rsid w:val="00CB6A97"/>
    <w:rsid w:val="00CB7451"/>
    <w:rsid w:val="00CC6F93"/>
    <w:rsid w:val="00CD115E"/>
    <w:rsid w:val="00CD2CF6"/>
    <w:rsid w:val="00CF0F5F"/>
    <w:rsid w:val="00CF1B14"/>
    <w:rsid w:val="00CF3964"/>
    <w:rsid w:val="00CF598D"/>
    <w:rsid w:val="00D037B4"/>
    <w:rsid w:val="00D04C2E"/>
    <w:rsid w:val="00D06A03"/>
    <w:rsid w:val="00D07801"/>
    <w:rsid w:val="00D122F3"/>
    <w:rsid w:val="00D12BB0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78"/>
    <w:rsid w:val="00DC09A7"/>
    <w:rsid w:val="00DC1623"/>
    <w:rsid w:val="00DC1726"/>
    <w:rsid w:val="00DC6BD0"/>
    <w:rsid w:val="00DD31BC"/>
    <w:rsid w:val="00DE2519"/>
    <w:rsid w:val="00DE40C1"/>
    <w:rsid w:val="00DF0160"/>
    <w:rsid w:val="00DF11A2"/>
    <w:rsid w:val="00DF3776"/>
    <w:rsid w:val="00E03DC5"/>
    <w:rsid w:val="00E17E55"/>
    <w:rsid w:val="00E22C23"/>
    <w:rsid w:val="00E25155"/>
    <w:rsid w:val="00E3435A"/>
    <w:rsid w:val="00E34E56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94573"/>
    <w:rsid w:val="00E94ED3"/>
    <w:rsid w:val="00EA0150"/>
    <w:rsid w:val="00EA03C9"/>
    <w:rsid w:val="00EB1208"/>
    <w:rsid w:val="00EB1981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0F16"/>
    <w:rsid w:val="00EF2FF9"/>
    <w:rsid w:val="00EF5794"/>
    <w:rsid w:val="00F07136"/>
    <w:rsid w:val="00F07148"/>
    <w:rsid w:val="00F1071C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DABE-A761-426F-B224-64F53C04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5907</TotalTime>
  <Pages>2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460</cp:revision>
  <cp:lastPrinted>2019-09-06T02:18:00Z</cp:lastPrinted>
  <dcterms:created xsi:type="dcterms:W3CDTF">2019-09-09T04:07:00Z</dcterms:created>
  <dcterms:modified xsi:type="dcterms:W3CDTF">2023-05-11T07:10:00Z</dcterms:modified>
</cp:coreProperties>
</file>