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52300">
        <w:rPr>
          <w:b/>
          <w:bCs/>
          <w:iCs/>
          <w:sz w:val="20"/>
          <w:szCs w:val="20"/>
        </w:rPr>
        <w:t>18</w:t>
      </w:r>
      <w:r w:rsidR="006B3713">
        <w:rPr>
          <w:b/>
          <w:bCs/>
          <w:iCs/>
          <w:sz w:val="20"/>
          <w:szCs w:val="20"/>
        </w:rPr>
        <w:t>.08</w:t>
      </w:r>
      <w:r w:rsidR="0068634A">
        <w:rPr>
          <w:b/>
          <w:bCs/>
          <w:iCs/>
          <w:sz w:val="20"/>
          <w:szCs w:val="20"/>
        </w:rPr>
        <w:t>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52300">
        <w:rPr>
          <w:b/>
          <w:iCs/>
          <w:sz w:val="20"/>
          <w:szCs w:val="20"/>
        </w:rPr>
        <w:t>13.09</w:t>
      </w:r>
      <w:r w:rsidR="008D6376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352300">
        <w:rPr>
          <w:rFonts w:ascii="Times New Roman CYR" w:hAnsi="Times New Roman CYR" w:cs="Times New Roman CYR"/>
          <w:b/>
          <w:sz w:val="20"/>
          <w:szCs w:val="20"/>
        </w:rPr>
        <w:t>14.09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52300">
        <w:rPr>
          <w:b/>
          <w:bCs/>
          <w:iCs/>
          <w:sz w:val="20"/>
          <w:szCs w:val="20"/>
        </w:rPr>
        <w:t>18</w:t>
      </w:r>
      <w:r w:rsidR="006B3713">
        <w:rPr>
          <w:b/>
          <w:bCs/>
          <w:iCs/>
          <w:sz w:val="20"/>
          <w:szCs w:val="20"/>
        </w:rPr>
        <w:t>.09</w:t>
      </w:r>
      <w:r w:rsidR="008D6376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0D10E7" w:rsidRDefault="000D10E7" w:rsidP="000D10E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1/2 доля в праве собственности на нежилое помещение (гаражный бокс), кадастровый № 22:63:040434:1622, общая площадь 17,9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2,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Барнаул, пер. </w:t>
      </w:r>
      <w:proofErr w:type="spellStart"/>
      <w:r>
        <w:rPr>
          <w:sz w:val="20"/>
          <w:szCs w:val="20"/>
        </w:rPr>
        <w:t>Ядринцева</w:t>
      </w:r>
      <w:proofErr w:type="spellEnd"/>
      <w:r>
        <w:rPr>
          <w:sz w:val="20"/>
          <w:szCs w:val="20"/>
        </w:rPr>
        <w:t xml:space="preserve">, д. 140, бокс 29. Начальная цена 261 460 руб. 00 коп. (Климентьев М.В., </w:t>
      </w:r>
      <w:proofErr w:type="spellStart"/>
      <w:r>
        <w:rPr>
          <w:sz w:val="20"/>
          <w:szCs w:val="20"/>
        </w:rPr>
        <w:t>Кылыч</w:t>
      </w:r>
      <w:proofErr w:type="spellEnd"/>
      <w:r>
        <w:rPr>
          <w:sz w:val="20"/>
          <w:szCs w:val="20"/>
        </w:rPr>
        <w:t xml:space="preserve"> Д.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арест) (936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D10E7" w:rsidRDefault="000D10E7" w:rsidP="000D10E7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DF19A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Нежилое здание (склад запчастей), 1980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22:33:044003:1069, площадь 757,3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кол-во этажей - 1,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Первомайский район, с. Жилино, ул. </w:t>
      </w:r>
      <w:proofErr w:type="gramStart"/>
      <w:r>
        <w:rPr>
          <w:sz w:val="20"/>
          <w:szCs w:val="20"/>
        </w:rPr>
        <w:t>Производственная</w:t>
      </w:r>
      <w:proofErr w:type="gramEnd"/>
      <w:r>
        <w:rPr>
          <w:sz w:val="20"/>
          <w:szCs w:val="20"/>
        </w:rPr>
        <w:t>, д. 17. Начальная цена 4 525 740 руб. 00 коп. (Климов А.Е.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арест) (938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D10E7" w:rsidRDefault="000D10E7" w:rsidP="000D10E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F19A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Нежилое помещение (гаражный бокс), кадастровый № 22:63:030126:701, площадь 25,7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- 1,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Барнаул, ул. Малахова, д. 107А, ГСК-151, бокс 6. Начальная цена 286 450 руб. 00 коп. (Медведев В.В.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арест) (977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D10E7" w:rsidRDefault="000D10E7" w:rsidP="000D10E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Сооружение водозаборное (скважина), 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22:13:040001:785, площадь 7,3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29Г. Начальная цена 471 240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действий, арест) (995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D10E7" w:rsidRDefault="000D10E7" w:rsidP="000D10E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Сооружение коммунально-бытовое (водонапорная башня), 2011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22:13:040001:835, объем 192 </w:t>
      </w:r>
      <w:proofErr w:type="spellStart"/>
      <w:r>
        <w:rPr>
          <w:sz w:val="20"/>
          <w:szCs w:val="20"/>
        </w:rPr>
        <w:t>куб.м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29Б. Начальная цена 944 180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действий, арест) (995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D10E7" w:rsidRDefault="000D10E7" w:rsidP="000D10E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Сооружение коммуникационное (скважина АБ-11/90), 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22:13:040001:836, площадь 7,5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29В. Начальная цена 471 240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действий, арест) (995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D10E7" w:rsidRDefault="000D10E7" w:rsidP="000D10E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Сооружение коммуникационное (скважина 3ПЦ - резервная), 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22:13:040001:837, площадь 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29Д. Начальная цена 471 240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действий, арест) (995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D10E7" w:rsidRDefault="000D10E7" w:rsidP="000D10E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Жилое помещение, кадастровый № 22:63:040516:2933, площадь 10,9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2, адрес: Алтайский край, г. Барнаул, ул. </w:t>
      </w:r>
      <w:proofErr w:type="gramStart"/>
      <w:r>
        <w:rPr>
          <w:sz w:val="20"/>
          <w:szCs w:val="20"/>
        </w:rPr>
        <w:t>Восточная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129А, к. 21. Зарегистрированных лиц – нет. Информация о задолженности по взносам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725 985 руб. 00 коп. (Суханова Е.Г., запреты на совершение регистрационных действий) (1044) (повторные).</w:t>
      </w:r>
    </w:p>
    <w:p w:rsidR="00151439" w:rsidRPr="00C03472" w:rsidRDefault="000D10E7" w:rsidP="0015143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Жилое помещение, кадастровый № 22:16:020302:171, площадь 47,6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5, адрес: Алтайский край, </w:t>
      </w:r>
      <w:proofErr w:type="spellStart"/>
      <w:r>
        <w:rPr>
          <w:sz w:val="20"/>
          <w:szCs w:val="20"/>
        </w:rPr>
        <w:t>Калманский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Новороманово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Взлетная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60, кв. 90. Информация</w:t>
      </w:r>
      <w:r w:rsidRPr="000262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958 715 руб. 00 коп. (</w:t>
      </w:r>
      <w:proofErr w:type="spellStart"/>
      <w:r>
        <w:rPr>
          <w:sz w:val="20"/>
          <w:szCs w:val="20"/>
        </w:rPr>
        <w:t>Старыгина</w:t>
      </w:r>
      <w:proofErr w:type="spellEnd"/>
      <w:r>
        <w:rPr>
          <w:sz w:val="20"/>
          <w:szCs w:val="20"/>
        </w:rPr>
        <w:t xml:space="preserve"> И.А., запреты на совершение регистрационных действий, арест) (1063) (повторные).</w:t>
      </w:r>
    </w:p>
    <w:p w:rsidR="00151439" w:rsidRDefault="00151439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03472">
        <w:rPr>
          <w:b/>
          <w:sz w:val="20"/>
          <w:szCs w:val="20"/>
          <w:u w:val="single"/>
        </w:rPr>
        <w:t>Лот№1</w:t>
      </w:r>
      <w:r w:rsidR="00C03472" w:rsidRPr="00C03472">
        <w:rPr>
          <w:b/>
          <w:sz w:val="20"/>
          <w:szCs w:val="20"/>
          <w:u w:val="single"/>
        </w:rPr>
        <w:t>0</w:t>
      </w:r>
      <w:r w:rsidR="004F523D">
        <w:rPr>
          <w:sz w:val="20"/>
          <w:szCs w:val="20"/>
        </w:rPr>
        <w:t xml:space="preserve"> Водопроводные сети (сооружение)</w:t>
      </w:r>
      <w:r>
        <w:rPr>
          <w:sz w:val="20"/>
          <w:szCs w:val="20"/>
        </w:rPr>
        <w:t>,</w:t>
      </w:r>
      <w:r w:rsidR="004F523D">
        <w:rPr>
          <w:sz w:val="20"/>
          <w:szCs w:val="20"/>
        </w:rPr>
        <w:t xml:space="preserve"> 2009 год ввода в эксплуатацию, назначение – производственное, кадастровый № 22:17:020801:296, площадь 7954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="004F523D">
        <w:rPr>
          <w:sz w:val="20"/>
          <w:szCs w:val="20"/>
        </w:rPr>
        <w:t>адрес: Алтайский край, Каменский</w:t>
      </w:r>
      <w:r>
        <w:rPr>
          <w:sz w:val="20"/>
          <w:szCs w:val="20"/>
        </w:rPr>
        <w:t xml:space="preserve"> район, </w:t>
      </w:r>
      <w:r w:rsidR="004F523D">
        <w:rPr>
          <w:sz w:val="20"/>
          <w:szCs w:val="20"/>
        </w:rPr>
        <w:t xml:space="preserve">с. </w:t>
      </w:r>
      <w:proofErr w:type="gramStart"/>
      <w:r w:rsidR="004F523D">
        <w:rPr>
          <w:sz w:val="20"/>
          <w:szCs w:val="20"/>
        </w:rPr>
        <w:t>Поперечное</w:t>
      </w:r>
      <w:proofErr w:type="gramEnd"/>
      <w:r w:rsidR="004F523D">
        <w:rPr>
          <w:sz w:val="20"/>
          <w:szCs w:val="20"/>
        </w:rPr>
        <w:t>. Начальная цена 13 166 000 руб. 00 коп. (МУП «Водоканал</w:t>
      </w:r>
      <w:r>
        <w:rPr>
          <w:sz w:val="20"/>
          <w:szCs w:val="20"/>
        </w:rPr>
        <w:t>»</w:t>
      </w:r>
      <w:r w:rsidR="004F523D">
        <w:rPr>
          <w:sz w:val="20"/>
          <w:szCs w:val="20"/>
        </w:rPr>
        <w:t xml:space="preserve"> МО Каменского района Алтайского края</w:t>
      </w:r>
      <w:r>
        <w:rPr>
          <w:sz w:val="20"/>
          <w:szCs w:val="20"/>
        </w:rPr>
        <w:t xml:space="preserve"> (на праве хозяйственного ведения), запреты на совершение</w:t>
      </w:r>
      <w:r w:rsidR="004F523D">
        <w:rPr>
          <w:sz w:val="20"/>
          <w:szCs w:val="20"/>
        </w:rPr>
        <w:t xml:space="preserve"> регистрационных действий) (1437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51439" w:rsidRDefault="00A0647D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172976">
        <w:rPr>
          <w:b/>
          <w:sz w:val="20"/>
          <w:szCs w:val="20"/>
          <w:u w:val="single"/>
        </w:rPr>
        <w:t>Лот№1</w:t>
      </w:r>
      <w:r w:rsidR="00C03472" w:rsidRPr="00172976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Нежилое здание котельной литер Б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2004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22:63:030420:804, площадь 4,6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кол-во этажей - 1,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Барнаул, ул. Малахова, д. 157. Начальная цена 81 600 руб. 00 коп. (ЗАО «</w:t>
      </w:r>
      <w:proofErr w:type="spellStart"/>
      <w:r>
        <w:rPr>
          <w:sz w:val="20"/>
          <w:szCs w:val="20"/>
        </w:rPr>
        <w:t>Алтайтеплокомплект</w:t>
      </w:r>
      <w:proofErr w:type="spellEnd"/>
      <w:r>
        <w:rPr>
          <w:sz w:val="20"/>
          <w:szCs w:val="20"/>
        </w:rPr>
        <w:t>»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прочие ограничения прав и обременения объекта недвижимости) (1472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03472" w:rsidRDefault="00C03472" w:rsidP="00C03472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172976">
        <w:rPr>
          <w:b/>
          <w:sz w:val="20"/>
          <w:szCs w:val="20"/>
          <w:u w:val="single"/>
        </w:rPr>
        <w:t>Лот№12</w:t>
      </w:r>
      <w:bookmarkStart w:id="0" w:name="_GoBack"/>
      <w:bookmarkEnd w:id="0"/>
      <w:r>
        <w:rPr>
          <w:sz w:val="20"/>
          <w:szCs w:val="20"/>
        </w:rPr>
        <w:t xml:space="preserve"> 1/3</w:t>
      </w:r>
      <w:r w:rsidRPr="00CC37BC">
        <w:rPr>
          <w:sz w:val="20"/>
          <w:szCs w:val="20"/>
        </w:rPr>
        <w:t xml:space="preserve"> доля в праве собственности на жилое помещение</w:t>
      </w:r>
      <w:r>
        <w:rPr>
          <w:sz w:val="20"/>
          <w:szCs w:val="20"/>
        </w:rPr>
        <w:t xml:space="preserve">, кадастровый № 22:63:030119:630, общая площадь 47,5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CC37BC">
        <w:rPr>
          <w:sz w:val="20"/>
          <w:szCs w:val="20"/>
        </w:rPr>
        <w:t>, адрес: Алтайский</w:t>
      </w:r>
      <w:r>
        <w:rPr>
          <w:sz w:val="20"/>
          <w:szCs w:val="20"/>
        </w:rPr>
        <w:t xml:space="preserve"> край, г. Барнаул, ул. </w:t>
      </w:r>
      <w:proofErr w:type="spellStart"/>
      <w:r>
        <w:rPr>
          <w:sz w:val="20"/>
          <w:szCs w:val="20"/>
        </w:rPr>
        <w:t>Сухэ-Батора</w:t>
      </w:r>
      <w:proofErr w:type="spellEnd"/>
      <w:r>
        <w:rPr>
          <w:sz w:val="20"/>
          <w:szCs w:val="20"/>
        </w:rPr>
        <w:t>, д. 13, кв. 17. И</w:t>
      </w:r>
      <w:r w:rsidRPr="00CC37BC">
        <w:rPr>
          <w:sz w:val="20"/>
          <w:szCs w:val="20"/>
        </w:rPr>
        <w:t>нформация о</w:t>
      </w:r>
      <w:r w:rsidRPr="00722388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C37BC">
        <w:rPr>
          <w:sz w:val="20"/>
          <w:szCs w:val="20"/>
        </w:rPr>
        <w:t>арегистрированных лиц</w:t>
      </w:r>
      <w:r>
        <w:rPr>
          <w:sz w:val="20"/>
          <w:szCs w:val="20"/>
        </w:rPr>
        <w:t>ах и о</w:t>
      </w:r>
      <w:r w:rsidRPr="00CC37BC">
        <w:rPr>
          <w:sz w:val="20"/>
          <w:szCs w:val="20"/>
        </w:rPr>
        <w:t xml:space="preserve">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1 297 100 руб. 00 коп. (</w:t>
      </w:r>
      <w:proofErr w:type="spellStart"/>
      <w:r>
        <w:rPr>
          <w:sz w:val="20"/>
          <w:szCs w:val="20"/>
        </w:rPr>
        <w:t>Лавренкова</w:t>
      </w:r>
      <w:proofErr w:type="spellEnd"/>
      <w:r>
        <w:rPr>
          <w:sz w:val="20"/>
          <w:szCs w:val="20"/>
        </w:rPr>
        <w:t xml:space="preserve"> Т.В., Лавренков В.А., </w:t>
      </w:r>
      <w:proofErr w:type="spellStart"/>
      <w:r>
        <w:rPr>
          <w:sz w:val="20"/>
          <w:szCs w:val="20"/>
        </w:rPr>
        <w:t>Лавренкова</w:t>
      </w:r>
      <w:proofErr w:type="spellEnd"/>
      <w:r>
        <w:rPr>
          <w:sz w:val="20"/>
          <w:szCs w:val="20"/>
        </w:rPr>
        <w:t xml:space="preserve"> Т.В.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действий) (1402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0647D" w:rsidRPr="003470E6" w:rsidRDefault="00C03472" w:rsidP="005B47F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147C70" w:rsidP="00147C70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A11D8F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</w:t>
      </w:r>
      <w:r w:rsidRPr="00A04359">
        <w:rPr>
          <w:b/>
          <w:color w:val="000000" w:themeColor="text1"/>
          <w:sz w:val="20"/>
          <w:szCs w:val="20"/>
        </w:rPr>
        <w:lastRenderedPageBreak/>
        <w:t xml:space="preserve">позднее </w:t>
      </w:r>
      <w:r w:rsidR="00352300">
        <w:rPr>
          <w:b/>
          <w:color w:val="000000" w:themeColor="text1"/>
          <w:sz w:val="20"/>
          <w:szCs w:val="20"/>
        </w:rPr>
        <w:t>08 сентября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="0036562B">
        <w:rPr>
          <w:sz w:val="20"/>
          <w:szCs w:val="20"/>
        </w:rPr>
        <w:t>8 913-210-8044</w:t>
      </w:r>
      <w:r w:rsidRPr="00A642B4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</w:t>
      </w:r>
      <w:r w:rsidR="004E1B38">
        <w:rPr>
          <w:color w:val="000000"/>
          <w:sz w:val="20"/>
          <w:szCs w:val="20"/>
        </w:rPr>
        <w:t xml:space="preserve"> электронную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торговую площадку в соответствии с регламентами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>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 w:rsidR="004E1B38">
        <w:rPr>
          <w:sz w:val="20"/>
          <w:szCs w:val="20"/>
        </w:rPr>
        <w:t xml:space="preserve"> электронной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4E1B38">
        <w:rPr>
          <w:color w:val="000000"/>
          <w:sz w:val="20"/>
          <w:szCs w:val="20"/>
        </w:rPr>
        <w:t xml:space="preserve"> электронной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4E1B38">
        <w:rPr>
          <w:bCs/>
          <w:iCs/>
          <w:sz w:val="20"/>
          <w:szCs w:val="20"/>
        </w:rPr>
        <w:t xml:space="preserve"> электронной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6E89"/>
    <w:rsid w:val="00017142"/>
    <w:rsid w:val="00022F45"/>
    <w:rsid w:val="00023BFE"/>
    <w:rsid w:val="00024C4E"/>
    <w:rsid w:val="00026275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58A7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10E7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1672"/>
    <w:rsid w:val="001038D9"/>
    <w:rsid w:val="00105EE5"/>
    <w:rsid w:val="00111190"/>
    <w:rsid w:val="00113F6E"/>
    <w:rsid w:val="00122CBD"/>
    <w:rsid w:val="00123C40"/>
    <w:rsid w:val="00123FF2"/>
    <w:rsid w:val="001249DD"/>
    <w:rsid w:val="00126C70"/>
    <w:rsid w:val="00144710"/>
    <w:rsid w:val="00145118"/>
    <w:rsid w:val="001470BE"/>
    <w:rsid w:val="00147C70"/>
    <w:rsid w:val="0015012B"/>
    <w:rsid w:val="00151439"/>
    <w:rsid w:val="00153197"/>
    <w:rsid w:val="00154AD1"/>
    <w:rsid w:val="00155E0A"/>
    <w:rsid w:val="0016177F"/>
    <w:rsid w:val="00161FEC"/>
    <w:rsid w:val="00163A46"/>
    <w:rsid w:val="00170465"/>
    <w:rsid w:val="00172976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5A18"/>
    <w:rsid w:val="00196D5C"/>
    <w:rsid w:val="00197DA1"/>
    <w:rsid w:val="001A027D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1D6E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17580"/>
    <w:rsid w:val="00222966"/>
    <w:rsid w:val="00223B1D"/>
    <w:rsid w:val="00227E5C"/>
    <w:rsid w:val="00230448"/>
    <w:rsid w:val="00230680"/>
    <w:rsid w:val="0023071A"/>
    <w:rsid w:val="002348F0"/>
    <w:rsid w:val="00234DB8"/>
    <w:rsid w:val="00235394"/>
    <w:rsid w:val="00236372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660FA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0416"/>
    <w:rsid w:val="002919C6"/>
    <w:rsid w:val="00293687"/>
    <w:rsid w:val="00294056"/>
    <w:rsid w:val="00297B70"/>
    <w:rsid w:val="002A4745"/>
    <w:rsid w:val="002A5AD3"/>
    <w:rsid w:val="002B0A31"/>
    <w:rsid w:val="002B4A11"/>
    <w:rsid w:val="002B5237"/>
    <w:rsid w:val="002B5E7A"/>
    <w:rsid w:val="002C0207"/>
    <w:rsid w:val="002C1C95"/>
    <w:rsid w:val="002C2C96"/>
    <w:rsid w:val="002C39B0"/>
    <w:rsid w:val="002D26FC"/>
    <w:rsid w:val="002D6197"/>
    <w:rsid w:val="002E066F"/>
    <w:rsid w:val="002F1EB8"/>
    <w:rsid w:val="002F3301"/>
    <w:rsid w:val="002F63C1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6960"/>
    <w:rsid w:val="00337552"/>
    <w:rsid w:val="0033764F"/>
    <w:rsid w:val="0034234C"/>
    <w:rsid w:val="003470E6"/>
    <w:rsid w:val="003475FC"/>
    <w:rsid w:val="003510FA"/>
    <w:rsid w:val="003521BA"/>
    <w:rsid w:val="00352300"/>
    <w:rsid w:val="00354E4A"/>
    <w:rsid w:val="00354FE1"/>
    <w:rsid w:val="00365223"/>
    <w:rsid w:val="0036562B"/>
    <w:rsid w:val="00365E1D"/>
    <w:rsid w:val="003743EB"/>
    <w:rsid w:val="00374B69"/>
    <w:rsid w:val="00376AC2"/>
    <w:rsid w:val="00376D68"/>
    <w:rsid w:val="003778BD"/>
    <w:rsid w:val="00380D49"/>
    <w:rsid w:val="0039222B"/>
    <w:rsid w:val="003A0722"/>
    <w:rsid w:val="003A16CD"/>
    <w:rsid w:val="003A5EDE"/>
    <w:rsid w:val="003A6D17"/>
    <w:rsid w:val="003A76D7"/>
    <w:rsid w:val="003B138C"/>
    <w:rsid w:val="003B2736"/>
    <w:rsid w:val="003B376B"/>
    <w:rsid w:val="003B3C28"/>
    <w:rsid w:val="003B59E4"/>
    <w:rsid w:val="003C2A13"/>
    <w:rsid w:val="003C7DB6"/>
    <w:rsid w:val="003D1A56"/>
    <w:rsid w:val="003D1E7B"/>
    <w:rsid w:val="003D2323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3DB"/>
    <w:rsid w:val="003F1F2F"/>
    <w:rsid w:val="003F3789"/>
    <w:rsid w:val="003F5A25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3B88"/>
    <w:rsid w:val="004551CD"/>
    <w:rsid w:val="00460602"/>
    <w:rsid w:val="004652EF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1B38"/>
    <w:rsid w:val="004E1C25"/>
    <w:rsid w:val="004E73F2"/>
    <w:rsid w:val="004F1626"/>
    <w:rsid w:val="004F27C6"/>
    <w:rsid w:val="004F3AEC"/>
    <w:rsid w:val="004F523D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04BB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9F9"/>
    <w:rsid w:val="005A0E55"/>
    <w:rsid w:val="005A17BF"/>
    <w:rsid w:val="005A3CF2"/>
    <w:rsid w:val="005A4642"/>
    <w:rsid w:val="005A69FE"/>
    <w:rsid w:val="005B0428"/>
    <w:rsid w:val="005B19C8"/>
    <w:rsid w:val="005B47F6"/>
    <w:rsid w:val="005B66F6"/>
    <w:rsid w:val="005C29EA"/>
    <w:rsid w:val="005C735E"/>
    <w:rsid w:val="005C77FE"/>
    <w:rsid w:val="005D0E1A"/>
    <w:rsid w:val="005D31CD"/>
    <w:rsid w:val="005D6F86"/>
    <w:rsid w:val="005E15C3"/>
    <w:rsid w:val="005E5169"/>
    <w:rsid w:val="00601820"/>
    <w:rsid w:val="0060225D"/>
    <w:rsid w:val="006039CF"/>
    <w:rsid w:val="00606D6A"/>
    <w:rsid w:val="00613AA6"/>
    <w:rsid w:val="0061523A"/>
    <w:rsid w:val="006160CC"/>
    <w:rsid w:val="006162D2"/>
    <w:rsid w:val="00616F15"/>
    <w:rsid w:val="006170AE"/>
    <w:rsid w:val="0062387A"/>
    <w:rsid w:val="00626A86"/>
    <w:rsid w:val="0063107D"/>
    <w:rsid w:val="0063250A"/>
    <w:rsid w:val="00636B0E"/>
    <w:rsid w:val="00642BE0"/>
    <w:rsid w:val="00643302"/>
    <w:rsid w:val="00647A63"/>
    <w:rsid w:val="00651185"/>
    <w:rsid w:val="00653A3A"/>
    <w:rsid w:val="006545EA"/>
    <w:rsid w:val="00654E82"/>
    <w:rsid w:val="00656737"/>
    <w:rsid w:val="006617ED"/>
    <w:rsid w:val="00672A16"/>
    <w:rsid w:val="00676D1F"/>
    <w:rsid w:val="00676EF5"/>
    <w:rsid w:val="00682CF1"/>
    <w:rsid w:val="00685CD0"/>
    <w:rsid w:val="0068634A"/>
    <w:rsid w:val="00687FA6"/>
    <w:rsid w:val="006946BF"/>
    <w:rsid w:val="00696782"/>
    <w:rsid w:val="006A0B6C"/>
    <w:rsid w:val="006A2EE4"/>
    <w:rsid w:val="006A50AF"/>
    <w:rsid w:val="006A6E3D"/>
    <w:rsid w:val="006B25E5"/>
    <w:rsid w:val="006B3713"/>
    <w:rsid w:val="006B401F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915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2388"/>
    <w:rsid w:val="00725D33"/>
    <w:rsid w:val="00726128"/>
    <w:rsid w:val="00731FF0"/>
    <w:rsid w:val="007323FF"/>
    <w:rsid w:val="007366A3"/>
    <w:rsid w:val="00744740"/>
    <w:rsid w:val="0074630F"/>
    <w:rsid w:val="007504C1"/>
    <w:rsid w:val="00751E32"/>
    <w:rsid w:val="007542E5"/>
    <w:rsid w:val="00755429"/>
    <w:rsid w:val="007568EB"/>
    <w:rsid w:val="0076232F"/>
    <w:rsid w:val="00765C82"/>
    <w:rsid w:val="00770B78"/>
    <w:rsid w:val="00773377"/>
    <w:rsid w:val="0078571D"/>
    <w:rsid w:val="007863FF"/>
    <w:rsid w:val="007871F7"/>
    <w:rsid w:val="00787F1E"/>
    <w:rsid w:val="00793206"/>
    <w:rsid w:val="007A0AE7"/>
    <w:rsid w:val="007A482E"/>
    <w:rsid w:val="007A5722"/>
    <w:rsid w:val="007B2F8C"/>
    <w:rsid w:val="007B4F39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2D63"/>
    <w:rsid w:val="00855D6D"/>
    <w:rsid w:val="008657D4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E0E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505A"/>
    <w:rsid w:val="008D54B3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0D6F"/>
    <w:rsid w:val="00974F9B"/>
    <w:rsid w:val="009760F4"/>
    <w:rsid w:val="00980491"/>
    <w:rsid w:val="00984C9A"/>
    <w:rsid w:val="00985971"/>
    <w:rsid w:val="00991D90"/>
    <w:rsid w:val="00995EE6"/>
    <w:rsid w:val="009A1D9B"/>
    <w:rsid w:val="009A44E5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C738B"/>
    <w:rsid w:val="009D4A29"/>
    <w:rsid w:val="009E02E6"/>
    <w:rsid w:val="009E0734"/>
    <w:rsid w:val="009E2C8D"/>
    <w:rsid w:val="009E36B8"/>
    <w:rsid w:val="009E36FF"/>
    <w:rsid w:val="009E5C98"/>
    <w:rsid w:val="009E6705"/>
    <w:rsid w:val="009F1A22"/>
    <w:rsid w:val="009F275E"/>
    <w:rsid w:val="009F2CCD"/>
    <w:rsid w:val="009F4933"/>
    <w:rsid w:val="009F5B6E"/>
    <w:rsid w:val="00A04359"/>
    <w:rsid w:val="00A0647D"/>
    <w:rsid w:val="00A111BA"/>
    <w:rsid w:val="00A11D8F"/>
    <w:rsid w:val="00A142A0"/>
    <w:rsid w:val="00A1660F"/>
    <w:rsid w:val="00A169CA"/>
    <w:rsid w:val="00A21FD5"/>
    <w:rsid w:val="00A23B41"/>
    <w:rsid w:val="00A24017"/>
    <w:rsid w:val="00A33BDF"/>
    <w:rsid w:val="00A34757"/>
    <w:rsid w:val="00A41FD5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040"/>
    <w:rsid w:val="00A60181"/>
    <w:rsid w:val="00A64611"/>
    <w:rsid w:val="00A71140"/>
    <w:rsid w:val="00A72AC3"/>
    <w:rsid w:val="00A738BE"/>
    <w:rsid w:val="00A84391"/>
    <w:rsid w:val="00A87CB1"/>
    <w:rsid w:val="00A903BD"/>
    <w:rsid w:val="00A916AD"/>
    <w:rsid w:val="00AA12A7"/>
    <w:rsid w:val="00AA2F84"/>
    <w:rsid w:val="00AA6629"/>
    <w:rsid w:val="00AB18CA"/>
    <w:rsid w:val="00AB3F5D"/>
    <w:rsid w:val="00AB4147"/>
    <w:rsid w:val="00AB41D9"/>
    <w:rsid w:val="00AB54FC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5CF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69D5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1A78"/>
    <w:rsid w:val="00BB3A2C"/>
    <w:rsid w:val="00BB3B6E"/>
    <w:rsid w:val="00BB739E"/>
    <w:rsid w:val="00BC49D7"/>
    <w:rsid w:val="00BC4AEF"/>
    <w:rsid w:val="00BC4C65"/>
    <w:rsid w:val="00BC626D"/>
    <w:rsid w:val="00BC7CC4"/>
    <w:rsid w:val="00BD1014"/>
    <w:rsid w:val="00BD4A63"/>
    <w:rsid w:val="00BE1116"/>
    <w:rsid w:val="00BE55E0"/>
    <w:rsid w:val="00BF2F2F"/>
    <w:rsid w:val="00BF3C4A"/>
    <w:rsid w:val="00C014C0"/>
    <w:rsid w:val="00C03446"/>
    <w:rsid w:val="00C03472"/>
    <w:rsid w:val="00C046B2"/>
    <w:rsid w:val="00C1158F"/>
    <w:rsid w:val="00C115DD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1429"/>
    <w:rsid w:val="00C427BF"/>
    <w:rsid w:val="00C44A62"/>
    <w:rsid w:val="00C51AC2"/>
    <w:rsid w:val="00C53481"/>
    <w:rsid w:val="00C544B0"/>
    <w:rsid w:val="00C62817"/>
    <w:rsid w:val="00C648E0"/>
    <w:rsid w:val="00C65271"/>
    <w:rsid w:val="00C70974"/>
    <w:rsid w:val="00C71809"/>
    <w:rsid w:val="00C813DB"/>
    <w:rsid w:val="00C82D7A"/>
    <w:rsid w:val="00C83364"/>
    <w:rsid w:val="00C83892"/>
    <w:rsid w:val="00C83C5E"/>
    <w:rsid w:val="00C85804"/>
    <w:rsid w:val="00C87F08"/>
    <w:rsid w:val="00C97AC6"/>
    <w:rsid w:val="00CB189E"/>
    <w:rsid w:val="00CB228D"/>
    <w:rsid w:val="00CB4116"/>
    <w:rsid w:val="00CB6076"/>
    <w:rsid w:val="00CB6A97"/>
    <w:rsid w:val="00CB7451"/>
    <w:rsid w:val="00CC37BC"/>
    <w:rsid w:val="00CC6F93"/>
    <w:rsid w:val="00CD115E"/>
    <w:rsid w:val="00CD2CF6"/>
    <w:rsid w:val="00CE4CFE"/>
    <w:rsid w:val="00CF0F5F"/>
    <w:rsid w:val="00CF1B14"/>
    <w:rsid w:val="00CF3964"/>
    <w:rsid w:val="00CF598D"/>
    <w:rsid w:val="00D037B4"/>
    <w:rsid w:val="00D04C2E"/>
    <w:rsid w:val="00D04C86"/>
    <w:rsid w:val="00D06A03"/>
    <w:rsid w:val="00D07801"/>
    <w:rsid w:val="00D122F3"/>
    <w:rsid w:val="00D12BB0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B5DFA"/>
    <w:rsid w:val="00DC0978"/>
    <w:rsid w:val="00DC09A7"/>
    <w:rsid w:val="00DC1623"/>
    <w:rsid w:val="00DC1726"/>
    <w:rsid w:val="00DC6BD0"/>
    <w:rsid w:val="00DD31BC"/>
    <w:rsid w:val="00DE2519"/>
    <w:rsid w:val="00DE3BBB"/>
    <w:rsid w:val="00DE40C1"/>
    <w:rsid w:val="00DF0160"/>
    <w:rsid w:val="00DF11A2"/>
    <w:rsid w:val="00DF19AA"/>
    <w:rsid w:val="00DF3776"/>
    <w:rsid w:val="00E03DC5"/>
    <w:rsid w:val="00E10C45"/>
    <w:rsid w:val="00E17E55"/>
    <w:rsid w:val="00E22C23"/>
    <w:rsid w:val="00E2348B"/>
    <w:rsid w:val="00E25155"/>
    <w:rsid w:val="00E32834"/>
    <w:rsid w:val="00E3435A"/>
    <w:rsid w:val="00E34E56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6567D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D6FC3"/>
    <w:rsid w:val="00EF0F16"/>
    <w:rsid w:val="00EF2FF9"/>
    <w:rsid w:val="00EF5794"/>
    <w:rsid w:val="00F07136"/>
    <w:rsid w:val="00F07148"/>
    <w:rsid w:val="00F1071C"/>
    <w:rsid w:val="00F206A1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8A4"/>
    <w:rsid w:val="00F80A72"/>
    <w:rsid w:val="00F812E1"/>
    <w:rsid w:val="00F8700C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9FB6-34CF-4827-B831-7F9A4828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2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504</cp:revision>
  <cp:lastPrinted>2019-09-06T02:18:00Z</cp:lastPrinted>
  <dcterms:created xsi:type="dcterms:W3CDTF">2019-09-09T04:07:00Z</dcterms:created>
  <dcterms:modified xsi:type="dcterms:W3CDTF">2023-08-17T05:38:00Z</dcterms:modified>
</cp:coreProperties>
</file>