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6253B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.01.2025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6253B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253B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1D316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2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6253B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22:63:040227:10483, площадь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Антона Петрова, д. 249Б, б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окс 17. Начальная цена 1 314 270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Упоров А.Г.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(1478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22:63:020623:786, общая площадь 43,2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1 Мая, д. 8, кв. 16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1 185 665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(Колесников А.А. – 1/3 доля, Колесникова М.Ф. – 1/3 доля, Колесникова А.А. – 1/3 доля,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(223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93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D293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3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земли сельскохозяйственного назначения для сельскохозяйственного производства, кадастровый </w:t>
      </w:r>
      <w:r w:rsidRPr="005D2933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22:31:010203:1206, площадь 33143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Алтайский край, Павловский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Елунино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 границах землепользования СПК «Колхоз Приобский»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399 370 руб. 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(Пяткова Н.М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(1606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(котельная)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22:59:070216:397, площадь 89,4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Шелаболиха, пер. Пионерский,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 26А1. Начальная цена 274 640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67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(столярный цех)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22:59:070216:398, площадь 257,8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Шелаболиха, пер. Пионерский,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 26А3. Начальная цена 686 972 руб. 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(здание сырного цеха)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22:59:070216:399, площадь 904,8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Шелаболиха, пер. Пионерский, 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д. 26А. Начальная цена 2 560 395 руб. 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C9644A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Лот№7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11/25 долей в праве собственности на н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здание,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1988 </w:t>
      </w:r>
      <w:proofErr w:type="spellStart"/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22:63:030507:141, общая площадь 686,4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эксплуатации зданий производственной базы, кадастровый № 22:63:030507:234, площадь 478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Барнаул, проезд Южный, д. 31И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4 952 525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132143"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ДОЗ «Строитель»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 w:rsidR="00132143"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 w:rsidR="00132143">
        <w:rPr>
          <w:rFonts w:ascii="Times New Roman" w:hAnsi="Times New Roman" w:cs="Times New Roman"/>
          <w:sz w:val="20"/>
          <w:szCs w:val="20"/>
        </w:rPr>
        <w:t>зем</w:t>
      </w:r>
      <w:proofErr w:type="spellEnd"/>
      <w:r w:rsidR="00132143">
        <w:rPr>
          <w:rFonts w:ascii="Times New Roman" w:hAnsi="Times New Roman" w:cs="Times New Roman"/>
          <w:sz w:val="20"/>
          <w:szCs w:val="20"/>
        </w:rPr>
        <w:t>. участка (договор аренды № 3666-з от 30.01.2013 г. сроком на 15 лет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(228</w:t>
      </w:r>
      <w:r w:rsidR="0013214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="0013214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4144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22:63:030408:2668, площадь 16,6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2,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Фурманова, д. 199,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бокс 65. Начальная цена 182 835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Фадеев А.Ю.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(234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(контора)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22:59:070212:1534, площадь 202,5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Шелаболиха, пер. Пионерский, д. 26. Находится на земельном участке общей площадью 9161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правообладателем является ОАО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Маслос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ырзавод</w:t>
      </w:r>
      <w:proofErr w:type="spellEnd"/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». Начальная цена 751 038 руб. 75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(1647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32143" w:rsidRDefault="0013214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93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D293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C9644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10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земли сельскохозяйств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енного назначения для товарного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производства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картофеля, овощных культур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5D2933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22:17:030301:598, площадь 357756+/-5234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местоположение установлено относительно ориентира, расположенного в границах участка, почтовый 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 Алтайский край, Каменский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с/с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поле №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VIII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-3к бригады № 4, в 9300 м на северо-восток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Корнилово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803 959 руб. 75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(Лобода Д.А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аренда земельного участка) (1704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="00C9644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FF1588" w:rsidRPr="005B0B30" w:rsidRDefault="001A4D3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 (жилой дом), 1985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кадастровый № 22:17:020604:448, общая площадь 44,4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22:17:020604:113, общая площадь 3257+/-40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>: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Каменский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Новоярки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Информация о зарегистрированных лицах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</w:t>
      </w:r>
      <w:r>
        <w:rPr>
          <w:rFonts w:ascii="Times New Roman" w:eastAsia="Times New Roman" w:hAnsi="Times New Roman" w:cs="Times New Roman"/>
          <w:sz w:val="20"/>
          <w:szCs w:val="20"/>
        </w:rPr>
        <w:t>на. Начальная цена 109 284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Готовцов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90684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47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53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6253B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14</w:t>
      </w:r>
      <w:r w:rsidR="001D31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февраля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4495"/>
    <w:rsid w:val="0081600E"/>
    <w:rsid w:val="00827666"/>
    <w:rsid w:val="00833D86"/>
    <w:rsid w:val="008437F5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C04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66678"/>
    <w:rsid w:val="009765C5"/>
    <w:rsid w:val="009772CC"/>
    <w:rsid w:val="00981D7A"/>
    <w:rsid w:val="00985182"/>
    <w:rsid w:val="00986045"/>
    <w:rsid w:val="009937CA"/>
    <w:rsid w:val="009A3BFD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70246"/>
    <w:rsid w:val="00C704F6"/>
    <w:rsid w:val="00C72847"/>
    <w:rsid w:val="00C84706"/>
    <w:rsid w:val="00C9644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4657-90EF-4493-9B83-47A23D8E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2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284</cp:revision>
  <dcterms:created xsi:type="dcterms:W3CDTF">2023-10-23T08:19:00Z</dcterms:created>
  <dcterms:modified xsi:type="dcterms:W3CDTF">2025-01-23T06:02:00Z</dcterms:modified>
</cp:coreProperties>
</file>