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2D25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215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.08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2D25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215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09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D25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</w:t>
      </w:r>
      <w:r w:rsidR="0021553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9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2D25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215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086C70" w:rsidRDefault="00086C70" w:rsidP="00086C7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3339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33392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22:63:020631:282, общая площадь 59,7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Союза Республик, д. 12, кв. 67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Зарегистрированных лиц – 1 чел.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C15A9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2 645 625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(Колесников А.А. (долевая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(142/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086C70" w:rsidRDefault="00086C70" w:rsidP="00086C7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 w:rsidR="0050419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1/3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чение – земли сельскохозяйственного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22:25:021004:664, общая площадь 488376+/-12729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Кытмановский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участок расположен в 4500 м по направлению на юго-запад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 </w:t>
      </w:r>
      <w:proofErr w:type="spellStart"/>
      <w:r w:rsidR="00C15A9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Порошино</w:t>
      </w:r>
      <w:proofErr w:type="spellEnd"/>
      <w:r w:rsidR="00C15A9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Начальная цена 225 077 руб. 45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-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Допиро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С.Ю., собственники –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Журова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Н.А.,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Коробкова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С.Ю., Егошин А.А.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аренда) (1013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086C70" w:rsidRDefault="003710B6" w:rsidP="00D93F0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3339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33392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930C4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22:68:010306:126, общая площадь 56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Камень-на-Оби,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Маздрина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22, кв.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Информация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зарегистрированных лицах и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</w:t>
      </w:r>
      <w:r w:rsidR="00F537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ная цена 449 000 руб. 00 коп. (Глухов С.Н., Глухова Н.П., </w:t>
      </w:r>
      <w:proofErr w:type="spellStart"/>
      <w:r w:rsidR="00F537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Бурыкин</w:t>
      </w:r>
      <w:proofErr w:type="spellEnd"/>
      <w:r w:rsidR="00F537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</w:t>
      </w:r>
      <w:r w:rsidR="00F537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общая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</w:t>
      </w:r>
      <w:r w:rsidR="00F537A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истрационных действий) (1197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86C70" w:rsidRDefault="007F4E5E" w:rsidP="00D93F0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930C4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(погребная ячейка)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22:63:010622:2055, площадь 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кий край, г. Барнаул, ул. Малахова, д. 78Б, пом. 199. Начальная цена 200 129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Липатников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Е.Н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 w:rsidR="0050419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прочие ограничения прав и обременения объекта недвижимости) (1210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86C70" w:rsidRDefault="0050419E" w:rsidP="00D93F0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930C4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1/6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чение – земли сельскохозяйственного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22:25:020615:1717, общая площадь 977101+/-8650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местоположение установлено относительно ориентира, расположенного за пределами участка, ориентир с. Улус-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Тараба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участок находится примерно в 6,1 км по направлению на юго-восток от ориентира, почтовый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рес ориентира: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Российская Федерация,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Кытмановский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район. Начальная цена 255 675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Галяутдинов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А.Р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(991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40184A" w:rsidRDefault="0040184A" w:rsidP="0040184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8949D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8949D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930C4A" w:rsidRPr="008949D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40184A">
        <w:rPr>
          <w:rFonts w:ascii="Times New Roman" w:eastAsia="Times New Roman" w:hAnsi="Times New Roman" w:cs="Times New Roman"/>
          <w:sz w:val="20"/>
          <w:szCs w:val="20"/>
        </w:rPr>
        <w:t xml:space="preserve">земли населенных пунктов 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ля личного приусадебного хозяйства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40184A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22:33:050203:429, площадь 1000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Первомайский район, п. Лесной,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Лесная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4а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ачальная цена 755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000 руб. 00 коп</w:t>
      </w:r>
      <w:proofErr w:type="gramStart"/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>
        <w:rPr>
          <w:rFonts w:ascii="Times New Roman" w:hAnsi="Times New Roman" w:cs="Times New Roman"/>
          <w:iCs/>
          <w:sz w:val="20"/>
          <w:szCs w:val="20"/>
        </w:rPr>
        <w:t>Администрация Бобровского сельсовета Первомайского района, собственник – Шабалин А.Н.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8604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предоставлены) (1281</w:t>
      </w:r>
      <w:r w:rsidRP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653692" w:rsidRPr="000E59D3" w:rsidRDefault="00930C4A" w:rsidP="00711B78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01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</w:t>
      </w:r>
      <w:r w:rsidR="0021553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9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сентября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 xml:space="preserve">», Расчетный счёт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lastRenderedPageBreak/>
        <w:t>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333F5"/>
    <w:rsid w:val="00041B0F"/>
    <w:rsid w:val="0004454A"/>
    <w:rsid w:val="00050178"/>
    <w:rsid w:val="00065D1F"/>
    <w:rsid w:val="000669AE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66470"/>
    <w:rsid w:val="00186E36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4198"/>
    <w:rsid w:val="00210380"/>
    <w:rsid w:val="00215537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C0FDD"/>
    <w:rsid w:val="003C2391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B00"/>
    <w:rsid w:val="004345C2"/>
    <w:rsid w:val="00437192"/>
    <w:rsid w:val="0044092A"/>
    <w:rsid w:val="00441521"/>
    <w:rsid w:val="00441678"/>
    <w:rsid w:val="00442D5B"/>
    <w:rsid w:val="00450CE8"/>
    <w:rsid w:val="00454770"/>
    <w:rsid w:val="00454921"/>
    <w:rsid w:val="00457BB1"/>
    <w:rsid w:val="004607BA"/>
    <w:rsid w:val="00461CBF"/>
    <w:rsid w:val="004626E4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15F9A"/>
    <w:rsid w:val="00525805"/>
    <w:rsid w:val="005403BF"/>
    <w:rsid w:val="005470EC"/>
    <w:rsid w:val="0055251C"/>
    <w:rsid w:val="005628F0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C1287"/>
    <w:rsid w:val="006D5FDC"/>
    <w:rsid w:val="00711B78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609C"/>
    <w:rsid w:val="007A0FB1"/>
    <w:rsid w:val="007A147E"/>
    <w:rsid w:val="007A762F"/>
    <w:rsid w:val="007B3854"/>
    <w:rsid w:val="007B42DB"/>
    <w:rsid w:val="007C244D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437F5"/>
    <w:rsid w:val="00844D86"/>
    <w:rsid w:val="00864EDF"/>
    <w:rsid w:val="008701A2"/>
    <w:rsid w:val="0087409C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309B"/>
    <w:rsid w:val="008D23D1"/>
    <w:rsid w:val="008E3318"/>
    <w:rsid w:val="008E3989"/>
    <w:rsid w:val="008E647C"/>
    <w:rsid w:val="008F12AA"/>
    <w:rsid w:val="00900043"/>
    <w:rsid w:val="00906845"/>
    <w:rsid w:val="00910207"/>
    <w:rsid w:val="00914668"/>
    <w:rsid w:val="0091470D"/>
    <w:rsid w:val="009208D3"/>
    <w:rsid w:val="0092329D"/>
    <w:rsid w:val="0092340F"/>
    <w:rsid w:val="00925786"/>
    <w:rsid w:val="00927BD1"/>
    <w:rsid w:val="00930C4A"/>
    <w:rsid w:val="00931FDB"/>
    <w:rsid w:val="009344E5"/>
    <w:rsid w:val="009372DF"/>
    <w:rsid w:val="00937A1E"/>
    <w:rsid w:val="009442E7"/>
    <w:rsid w:val="0094532B"/>
    <w:rsid w:val="00945BF3"/>
    <w:rsid w:val="009477FE"/>
    <w:rsid w:val="00950DB9"/>
    <w:rsid w:val="00962942"/>
    <w:rsid w:val="00966678"/>
    <w:rsid w:val="009765C5"/>
    <w:rsid w:val="009772CC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172"/>
    <w:rsid w:val="00B57416"/>
    <w:rsid w:val="00B61951"/>
    <w:rsid w:val="00B633AD"/>
    <w:rsid w:val="00B73A3B"/>
    <w:rsid w:val="00B9248D"/>
    <w:rsid w:val="00B956C1"/>
    <w:rsid w:val="00BA05CF"/>
    <w:rsid w:val="00BA3640"/>
    <w:rsid w:val="00BB59D5"/>
    <w:rsid w:val="00BB75B9"/>
    <w:rsid w:val="00BC6E91"/>
    <w:rsid w:val="00BD0166"/>
    <w:rsid w:val="00BD01AE"/>
    <w:rsid w:val="00BD672F"/>
    <w:rsid w:val="00BE253C"/>
    <w:rsid w:val="00BE301E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C"/>
    <w:rsid w:val="00D11701"/>
    <w:rsid w:val="00D11902"/>
    <w:rsid w:val="00D12416"/>
    <w:rsid w:val="00D15CF8"/>
    <w:rsid w:val="00D21246"/>
    <w:rsid w:val="00D224FA"/>
    <w:rsid w:val="00D32DCA"/>
    <w:rsid w:val="00D44B1B"/>
    <w:rsid w:val="00D56F93"/>
    <w:rsid w:val="00D57245"/>
    <w:rsid w:val="00D621ED"/>
    <w:rsid w:val="00D65E10"/>
    <w:rsid w:val="00D91C2C"/>
    <w:rsid w:val="00D91DE7"/>
    <w:rsid w:val="00D92ACA"/>
    <w:rsid w:val="00D9307B"/>
    <w:rsid w:val="00D932D9"/>
    <w:rsid w:val="00D93F05"/>
    <w:rsid w:val="00DA3593"/>
    <w:rsid w:val="00DB56DB"/>
    <w:rsid w:val="00DC1FE8"/>
    <w:rsid w:val="00DC2407"/>
    <w:rsid w:val="00DD1F3C"/>
    <w:rsid w:val="00DD2571"/>
    <w:rsid w:val="00DD4E29"/>
    <w:rsid w:val="00DE3680"/>
    <w:rsid w:val="00DE595B"/>
    <w:rsid w:val="00DE710D"/>
    <w:rsid w:val="00E000EA"/>
    <w:rsid w:val="00E051B3"/>
    <w:rsid w:val="00E05CFD"/>
    <w:rsid w:val="00E05F73"/>
    <w:rsid w:val="00E07EBC"/>
    <w:rsid w:val="00E10167"/>
    <w:rsid w:val="00E147DD"/>
    <w:rsid w:val="00E2413D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6045"/>
    <w:rsid w:val="00EA01BA"/>
    <w:rsid w:val="00EA3F54"/>
    <w:rsid w:val="00EA47C3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5DCE"/>
    <w:rsid w:val="00FB1C02"/>
    <w:rsid w:val="00FB6DB3"/>
    <w:rsid w:val="00FC2EB7"/>
    <w:rsid w:val="00FC354F"/>
    <w:rsid w:val="00FC69B7"/>
    <w:rsid w:val="00FC7047"/>
    <w:rsid w:val="00FD0A37"/>
    <w:rsid w:val="00FD28D0"/>
    <w:rsid w:val="00FD3257"/>
    <w:rsid w:val="00FE2A59"/>
    <w:rsid w:val="00FE6AD0"/>
    <w:rsid w:val="00FF1588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DB33-7427-439D-A24D-87A2C5F2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2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388</cp:revision>
  <dcterms:created xsi:type="dcterms:W3CDTF">2023-10-23T08:19:00Z</dcterms:created>
  <dcterms:modified xsi:type="dcterms:W3CDTF">2025-08-28T05:35:00Z</dcterms:modified>
</cp:coreProperties>
</file>